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FD5B8" w14:textId="77777777" w:rsidR="000B523C" w:rsidRDefault="000B523C" w:rsidP="001921FB">
      <w:pPr>
        <w:pStyle w:val="Heading1"/>
      </w:pPr>
      <w:bookmarkStart w:id="0" w:name="_GoBack"/>
      <w:bookmarkEnd w:id="0"/>
    </w:p>
    <w:p w14:paraId="4816ACDD" w14:textId="77777777" w:rsidR="000B523C" w:rsidRDefault="000B523C" w:rsidP="001921FB">
      <w:pPr>
        <w:pStyle w:val="Heading1"/>
      </w:pPr>
      <w:r>
        <w:rPr>
          <w:rFonts w:cs="Arial"/>
          <w:b/>
          <w:noProof/>
          <w:sz w:val="22"/>
          <w:szCs w:val="22"/>
          <w:lang w:eastAsia="en-GB"/>
        </w:rPr>
        <w:drawing>
          <wp:anchor distT="0" distB="0" distL="114300" distR="114300" simplePos="0" relativeHeight="251661312" behindDoc="1" locked="0" layoutInCell="1" allowOverlap="1" wp14:anchorId="41B6BD33" wp14:editId="1A852E30">
            <wp:simplePos x="0" y="0"/>
            <wp:positionH relativeFrom="margin">
              <wp:posOffset>0</wp:posOffset>
            </wp:positionH>
            <wp:positionV relativeFrom="margin">
              <wp:posOffset>629285</wp:posOffset>
            </wp:positionV>
            <wp:extent cx="2705100" cy="868045"/>
            <wp:effectExtent l="0" t="0" r="0" b="8255"/>
            <wp:wrapSquare wrapText="bothSides"/>
            <wp:docPr id="3" name="Picture 3"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27CE4" w14:textId="77777777" w:rsidR="000B523C" w:rsidRDefault="000B523C" w:rsidP="001921FB">
      <w:pPr>
        <w:pStyle w:val="Heading1"/>
      </w:pPr>
    </w:p>
    <w:p w14:paraId="79AE122A" w14:textId="77777777" w:rsidR="000B523C" w:rsidRDefault="000B523C" w:rsidP="001921FB">
      <w:pPr>
        <w:pStyle w:val="Heading1"/>
      </w:pPr>
    </w:p>
    <w:p w14:paraId="25FBBF35" w14:textId="77777777" w:rsidR="000B523C" w:rsidRDefault="000B523C" w:rsidP="001921FB">
      <w:pPr>
        <w:pStyle w:val="Heading1"/>
      </w:pPr>
    </w:p>
    <w:p w14:paraId="45E32819" w14:textId="77777777" w:rsidR="000B523C" w:rsidRDefault="000B523C" w:rsidP="001921FB">
      <w:pPr>
        <w:pStyle w:val="Heading1"/>
      </w:pPr>
    </w:p>
    <w:p w14:paraId="36862ABD" w14:textId="77777777" w:rsidR="007D6675" w:rsidRPr="001921FB" w:rsidRDefault="001921FB" w:rsidP="001921FB">
      <w:pPr>
        <w:pStyle w:val="Heading1"/>
      </w:pPr>
      <w:r w:rsidRPr="001921FB">
        <w:t xml:space="preserve">HARP Navigator </w:t>
      </w:r>
    </w:p>
    <w:p w14:paraId="54225E77" w14:textId="77777777" w:rsidR="00773BE1" w:rsidRPr="001E3286" w:rsidRDefault="00315811" w:rsidP="001921FB">
      <w:pPr>
        <w:pStyle w:val="Heading1"/>
      </w:pPr>
      <w:r w:rsidRPr="001E3286">
        <w:t xml:space="preserve">Job </w:t>
      </w:r>
      <w:r w:rsidR="00C603B0" w:rsidRPr="001E3286">
        <w:t>Background</w:t>
      </w:r>
    </w:p>
    <w:p w14:paraId="458ED1D9" w14:textId="77777777" w:rsidR="001921FB" w:rsidRDefault="001921FB" w:rsidP="001F500D">
      <w:pPr>
        <w:spacing w:before="100" w:beforeAutospacing="1" w:after="100" w:afterAutospacing="1"/>
        <w:jc w:val="both"/>
        <w:rPr>
          <w:rFonts w:ascii="Gotham" w:hAnsi="Gotham" w:cs="Arial"/>
          <w:color w:val="000000" w:themeColor="text1"/>
          <w:sz w:val="22"/>
          <w:szCs w:val="22"/>
        </w:rPr>
      </w:pPr>
      <w:r w:rsidRPr="001921FB">
        <w:rPr>
          <w:rFonts w:ascii="Gotham" w:hAnsi="Gotham" w:cs="Arial"/>
          <w:color w:val="000000" w:themeColor="text1"/>
          <w:sz w:val="22"/>
          <w:szCs w:val="22"/>
        </w:rPr>
        <w:t xml:space="preserve">This role has been funded by Public Health England as part of the Rough Sleeping Grant one year pilot programme, and sits within the </w:t>
      </w:r>
      <w:r>
        <w:rPr>
          <w:rFonts w:ascii="Gotham" w:hAnsi="Gotham" w:cs="Arial"/>
          <w:color w:val="000000" w:themeColor="text1"/>
          <w:sz w:val="22"/>
          <w:szCs w:val="22"/>
        </w:rPr>
        <w:t xml:space="preserve">West Sussex </w:t>
      </w:r>
      <w:r w:rsidRPr="001921FB">
        <w:rPr>
          <w:rFonts w:ascii="Gotham" w:hAnsi="Gotham" w:cs="Arial"/>
          <w:color w:val="000000" w:themeColor="text1"/>
          <w:sz w:val="22"/>
          <w:szCs w:val="22"/>
        </w:rPr>
        <w:t xml:space="preserve">Hospital Admission Reduction Pathway (HARP). </w:t>
      </w:r>
      <w:r w:rsidR="00C73D69">
        <w:rPr>
          <w:rFonts w:ascii="Gotham" w:hAnsi="Gotham" w:cs="Arial"/>
          <w:color w:val="000000" w:themeColor="text1"/>
          <w:sz w:val="22"/>
          <w:szCs w:val="22"/>
        </w:rPr>
        <w:t>Th</w:t>
      </w:r>
      <w:r w:rsidR="000A4BAE">
        <w:rPr>
          <w:rFonts w:ascii="Gotham" w:hAnsi="Gotham" w:cs="Arial"/>
          <w:color w:val="000000" w:themeColor="text1"/>
          <w:sz w:val="22"/>
          <w:szCs w:val="22"/>
        </w:rPr>
        <w:t xml:space="preserve">is programme is being rolled out across the county. The programme has started in Worthing and is now being rolled out countywide. </w:t>
      </w:r>
    </w:p>
    <w:p w14:paraId="13154AC6" w14:textId="77777777" w:rsidR="001921FB" w:rsidRDefault="001921FB" w:rsidP="001F500D">
      <w:pPr>
        <w:spacing w:before="100" w:beforeAutospacing="1" w:after="100" w:afterAutospacing="1"/>
        <w:jc w:val="both"/>
        <w:rPr>
          <w:rFonts w:ascii="Gotham" w:hAnsi="Gotham"/>
          <w:sz w:val="22"/>
          <w:szCs w:val="22"/>
        </w:rPr>
      </w:pPr>
      <w:r w:rsidRPr="001921FB">
        <w:rPr>
          <w:rFonts w:ascii="Gotham" w:hAnsi="Gotham" w:cs="Arial"/>
          <w:sz w:val="22"/>
          <w:szCs w:val="22"/>
        </w:rPr>
        <w:t xml:space="preserve">It is recognised that rough sleepers across West Sussex have unmet physical and mental health needs which can often cause difficulties when trying to engage with services in a productive and long-term arrangement. </w:t>
      </w:r>
      <w:r>
        <w:rPr>
          <w:rFonts w:ascii="Gotham" w:hAnsi="Gotham" w:cs="Arial"/>
          <w:color w:val="000000" w:themeColor="text1"/>
          <w:sz w:val="22"/>
          <w:szCs w:val="22"/>
        </w:rPr>
        <w:t xml:space="preserve"> </w:t>
      </w:r>
      <w:r w:rsidRPr="001921FB">
        <w:rPr>
          <w:rFonts w:ascii="Gotham" w:hAnsi="Gotham"/>
          <w:sz w:val="22"/>
          <w:szCs w:val="22"/>
        </w:rPr>
        <w:t xml:space="preserve">The HARP Navigator will be responsible for engaging with individuals attending three West Sussex A and E departments who are rough sleeping, as part of a wider multidisciplinary team of non-clinical and clinical navigators, alongside peer mentors. </w:t>
      </w:r>
    </w:p>
    <w:p w14:paraId="32E258B6" w14:textId="77777777" w:rsidR="001921FB" w:rsidRPr="001921FB" w:rsidRDefault="001921FB" w:rsidP="001F500D">
      <w:pPr>
        <w:spacing w:before="100" w:beforeAutospacing="1" w:after="100" w:afterAutospacing="1"/>
        <w:jc w:val="both"/>
        <w:rPr>
          <w:rFonts w:ascii="Gotham" w:hAnsi="Gotham" w:cs="Arial"/>
          <w:color w:val="000000" w:themeColor="text1"/>
          <w:sz w:val="22"/>
          <w:szCs w:val="22"/>
        </w:rPr>
      </w:pPr>
      <w:r w:rsidRPr="001921FB">
        <w:rPr>
          <w:rFonts w:ascii="Gotham" w:hAnsi="Gotham"/>
          <w:sz w:val="22"/>
          <w:szCs w:val="22"/>
        </w:rPr>
        <w:t xml:space="preserve">The HARP navigator will support people </w:t>
      </w:r>
      <w:r w:rsidR="005F51FB">
        <w:rPr>
          <w:rFonts w:ascii="Gotham" w:hAnsi="Gotham"/>
          <w:sz w:val="22"/>
          <w:szCs w:val="22"/>
        </w:rPr>
        <w:t xml:space="preserve">who are homeless </w:t>
      </w:r>
      <w:r w:rsidRPr="001921FB">
        <w:rPr>
          <w:rFonts w:ascii="Gotham" w:hAnsi="Gotham"/>
          <w:sz w:val="22"/>
          <w:szCs w:val="22"/>
        </w:rPr>
        <w:t xml:space="preserve">through their admission to A and E to accessing services within the community. The post holder will be expected to navigate local service provision, building strong relationships with a range of different professionals whilst advocating on the individual’s behalf. They will work closely with HARP clinical navigators co-located within local homeless services and street triage, as well as identifying peer mentors to support the individual to access further services based on their needs. </w:t>
      </w:r>
    </w:p>
    <w:p w14:paraId="3071FC3C" w14:textId="77777777" w:rsidR="001921FB" w:rsidRPr="001921FB" w:rsidRDefault="001921FB" w:rsidP="001F500D">
      <w:pPr>
        <w:spacing w:after="160" w:line="259" w:lineRule="auto"/>
        <w:jc w:val="both"/>
        <w:rPr>
          <w:rFonts w:ascii="Gotham" w:eastAsia="Calibri" w:hAnsi="Gotham" w:cs="Arial"/>
          <w:b/>
          <w:bCs/>
          <w:sz w:val="22"/>
          <w:szCs w:val="22"/>
        </w:rPr>
      </w:pPr>
      <w:r w:rsidRPr="001921FB">
        <w:rPr>
          <w:rFonts w:ascii="Gotham" w:eastAsia="Calibri" w:hAnsi="Gotham" w:cs="Arial"/>
          <w:sz w:val="22"/>
          <w:szCs w:val="22"/>
        </w:rPr>
        <w:t>The HARP model will focus on;</w:t>
      </w:r>
    </w:p>
    <w:p w14:paraId="1FE65387" w14:textId="77777777" w:rsidR="001921FB" w:rsidRPr="001921FB" w:rsidRDefault="001921FB" w:rsidP="001F500D">
      <w:pPr>
        <w:numPr>
          <w:ilvl w:val="0"/>
          <w:numId w:val="32"/>
        </w:numPr>
        <w:spacing w:after="160" w:line="259" w:lineRule="auto"/>
        <w:contextualSpacing/>
        <w:jc w:val="both"/>
        <w:rPr>
          <w:rFonts w:ascii="Gotham" w:eastAsia="Calibri" w:hAnsi="Gotham" w:cs="Arial"/>
          <w:b/>
          <w:bCs/>
          <w:sz w:val="22"/>
          <w:szCs w:val="22"/>
        </w:rPr>
      </w:pPr>
      <w:r w:rsidRPr="001921FB">
        <w:rPr>
          <w:rFonts w:ascii="Gotham" w:eastAsia="Calibri" w:hAnsi="Gotham" w:cs="Arial"/>
          <w:sz w:val="22"/>
          <w:szCs w:val="22"/>
        </w:rPr>
        <w:t>reducing crisis hospital admissions for those with mental health issues/ dual diagnosis needs</w:t>
      </w:r>
    </w:p>
    <w:p w14:paraId="621F31B1" w14:textId="77777777" w:rsidR="001921FB" w:rsidRPr="001921FB" w:rsidRDefault="001921FB" w:rsidP="001F500D">
      <w:pPr>
        <w:numPr>
          <w:ilvl w:val="0"/>
          <w:numId w:val="32"/>
        </w:numPr>
        <w:spacing w:after="160" w:line="259" w:lineRule="auto"/>
        <w:contextualSpacing/>
        <w:jc w:val="both"/>
        <w:rPr>
          <w:rFonts w:ascii="Gotham" w:eastAsia="Calibri" w:hAnsi="Gotham" w:cs="Arial"/>
          <w:b/>
          <w:bCs/>
          <w:sz w:val="22"/>
          <w:szCs w:val="22"/>
        </w:rPr>
      </w:pPr>
      <w:r w:rsidRPr="001921FB">
        <w:rPr>
          <w:rFonts w:ascii="Gotham" w:eastAsia="Calibri" w:hAnsi="Gotham" w:cs="Arial"/>
          <w:sz w:val="22"/>
          <w:szCs w:val="22"/>
        </w:rPr>
        <w:t>reducing drug related deaths, increase clinical street and homeless hub triage</w:t>
      </w:r>
    </w:p>
    <w:p w14:paraId="61C2305C" w14:textId="77777777" w:rsidR="001921FB" w:rsidRPr="001921FB" w:rsidRDefault="001921FB" w:rsidP="001F500D">
      <w:pPr>
        <w:numPr>
          <w:ilvl w:val="0"/>
          <w:numId w:val="32"/>
        </w:numPr>
        <w:spacing w:after="160" w:line="259" w:lineRule="auto"/>
        <w:contextualSpacing/>
        <w:jc w:val="both"/>
        <w:rPr>
          <w:rFonts w:ascii="Gotham" w:eastAsia="Calibri" w:hAnsi="Gotham" w:cs="Arial"/>
          <w:b/>
          <w:bCs/>
          <w:sz w:val="22"/>
          <w:szCs w:val="22"/>
        </w:rPr>
      </w:pPr>
      <w:r w:rsidRPr="001921FB">
        <w:rPr>
          <w:rFonts w:ascii="Gotham" w:eastAsia="Calibri" w:hAnsi="Gotham" w:cs="Arial"/>
          <w:sz w:val="22"/>
          <w:szCs w:val="22"/>
        </w:rPr>
        <w:t>increasing vaccination, screening and treatment of blood born viruses</w:t>
      </w:r>
    </w:p>
    <w:p w14:paraId="71C62A30" w14:textId="77777777" w:rsidR="001921FB" w:rsidRPr="001921FB" w:rsidRDefault="001921FB" w:rsidP="001F500D">
      <w:pPr>
        <w:numPr>
          <w:ilvl w:val="0"/>
          <w:numId w:val="32"/>
        </w:numPr>
        <w:spacing w:after="160" w:line="259" w:lineRule="auto"/>
        <w:contextualSpacing/>
        <w:jc w:val="both"/>
        <w:rPr>
          <w:rFonts w:ascii="Gotham" w:eastAsia="Calibri" w:hAnsi="Gotham" w:cs="Arial"/>
          <w:b/>
          <w:bCs/>
          <w:sz w:val="22"/>
          <w:szCs w:val="22"/>
        </w:rPr>
      </w:pPr>
      <w:r w:rsidRPr="001921FB">
        <w:rPr>
          <w:rFonts w:ascii="Gotham" w:eastAsia="Calibri" w:hAnsi="Gotham" w:cs="Arial"/>
          <w:sz w:val="22"/>
          <w:szCs w:val="22"/>
        </w:rPr>
        <w:t>Creating an improved navigation route through both health and community-based services.</w:t>
      </w:r>
    </w:p>
    <w:p w14:paraId="5A4D5B70" w14:textId="77777777" w:rsidR="001921FB" w:rsidRPr="001921FB" w:rsidRDefault="001921FB" w:rsidP="001F500D">
      <w:pPr>
        <w:spacing w:after="160" w:line="259" w:lineRule="auto"/>
        <w:ind w:left="720"/>
        <w:contextualSpacing/>
        <w:jc w:val="both"/>
        <w:rPr>
          <w:rFonts w:ascii="Gotham" w:eastAsia="Calibri" w:hAnsi="Gotham" w:cs="Arial"/>
          <w:b/>
          <w:bCs/>
          <w:sz w:val="22"/>
          <w:szCs w:val="22"/>
        </w:rPr>
      </w:pPr>
      <w:r w:rsidRPr="001921FB">
        <w:rPr>
          <w:rFonts w:ascii="Gotham" w:eastAsia="Calibri" w:hAnsi="Gotham" w:cs="Arial"/>
          <w:sz w:val="22"/>
          <w:szCs w:val="22"/>
        </w:rPr>
        <w:lastRenderedPageBreak/>
        <w:t xml:space="preserve"> </w:t>
      </w:r>
    </w:p>
    <w:p w14:paraId="64B9B605" w14:textId="77777777" w:rsidR="001921FB" w:rsidRPr="001921FB" w:rsidRDefault="001921FB" w:rsidP="001F500D">
      <w:pPr>
        <w:jc w:val="both"/>
        <w:rPr>
          <w:rFonts w:ascii="Gotham" w:hAnsi="Gotham"/>
          <w:sz w:val="22"/>
          <w:szCs w:val="22"/>
        </w:rPr>
      </w:pPr>
      <w:r w:rsidRPr="001921FB">
        <w:rPr>
          <w:rFonts w:ascii="Gotham" w:eastAsia="Calibri" w:hAnsi="Gotham" w:cs="Arial"/>
          <w:sz w:val="22"/>
          <w:szCs w:val="22"/>
        </w:rPr>
        <w:t>It provides a multi-disciplinary approach to working with individuals with multiple needs; using systems leadership and strengthening synergies, information sharing, pathway understand and client-focused planning.  It furthers the work of Team around the Person, Making Every Adult Matter, co-located GPs with</w:t>
      </w:r>
      <w:r>
        <w:rPr>
          <w:rFonts w:ascii="Gotham" w:eastAsia="Calibri" w:hAnsi="Gotham" w:cs="Arial"/>
          <w:sz w:val="22"/>
          <w:szCs w:val="22"/>
        </w:rPr>
        <w:t>in</w:t>
      </w:r>
      <w:r w:rsidRPr="001921FB">
        <w:rPr>
          <w:rFonts w:ascii="Gotham" w:eastAsia="Calibri" w:hAnsi="Gotham" w:cs="Arial"/>
          <w:sz w:val="22"/>
          <w:szCs w:val="22"/>
        </w:rPr>
        <w:t xml:space="preserve"> homelessness, specialist homelessness GPs, </w:t>
      </w:r>
      <w:r>
        <w:rPr>
          <w:rFonts w:ascii="Gotham" w:eastAsia="Calibri" w:hAnsi="Gotham" w:cs="Arial"/>
          <w:sz w:val="22"/>
          <w:szCs w:val="22"/>
        </w:rPr>
        <w:t xml:space="preserve">MHLCG </w:t>
      </w:r>
      <w:r w:rsidRPr="001921FB">
        <w:rPr>
          <w:rFonts w:ascii="Gotham" w:eastAsia="Calibri" w:hAnsi="Gotham" w:cs="Arial"/>
          <w:sz w:val="22"/>
          <w:szCs w:val="22"/>
        </w:rPr>
        <w:t>RSI outreach services and the Rough</w:t>
      </w:r>
      <w:r>
        <w:rPr>
          <w:rFonts w:ascii="Gotham" w:eastAsia="Calibri" w:hAnsi="Gotham" w:cs="Arial"/>
          <w:sz w:val="22"/>
          <w:szCs w:val="22"/>
        </w:rPr>
        <w:t xml:space="preserve"> Sleeper Rapid Rehousing Pathway. </w:t>
      </w:r>
    </w:p>
    <w:p w14:paraId="4388D1F5" w14:textId="77777777" w:rsidR="001921FB" w:rsidRPr="001921FB" w:rsidRDefault="001921FB" w:rsidP="001F500D">
      <w:pPr>
        <w:pStyle w:val="Heading1"/>
        <w:jc w:val="both"/>
      </w:pPr>
    </w:p>
    <w:p w14:paraId="72EB6C4F" w14:textId="77777777" w:rsidR="00C60C21" w:rsidRPr="001E3286" w:rsidRDefault="00C60C21" w:rsidP="001F500D">
      <w:pPr>
        <w:jc w:val="both"/>
        <w:rPr>
          <w:rFonts w:ascii="Gotham" w:hAnsi="Gotham"/>
          <w:sz w:val="22"/>
          <w:szCs w:val="22"/>
        </w:rPr>
      </w:pPr>
    </w:p>
    <w:p w14:paraId="4CA6F767" w14:textId="77777777" w:rsidR="00B86975" w:rsidRPr="001E3286" w:rsidRDefault="00B86975" w:rsidP="001F500D">
      <w:pPr>
        <w:pStyle w:val="Heading1"/>
        <w:jc w:val="both"/>
      </w:pPr>
    </w:p>
    <w:p w14:paraId="3C6E090E" w14:textId="77777777" w:rsidR="00B86975" w:rsidRPr="001E3286" w:rsidRDefault="00B86975" w:rsidP="001F500D">
      <w:pPr>
        <w:jc w:val="both"/>
        <w:rPr>
          <w:sz w:val="22"/>
          <w:szCs w:val="22"/>
        </w:rPr>
      </w:pPr>
    </w:p>
    <w:p w14:paraId="645E215F" w14:textId="77777777" w:rsidR="00B86975" w:rsidRDefault="00B86975" w:rsidP="001F500D">
      <w:pPr>
        <w:jc w:val="both"/>
        <w:rPr>
          <w:sz w:val="22"/>
          <w:szCs w:val="22"/>
        </w:rPr>
      </w:pPr>
    </w:p>
    <w:p w14:paraId="0A3317B3" w14:textId="77777777" w:rsidR="001E3286" w:rsidRDefault="001E3286" w:rsidP="001F500D">
      <w:pPr>
        <w:jc w:val="both"/>
        <w:rPr>
          <w:sz w:val="22"/>
          <w:szCs w:val="22"/>
        </w:rPr>
      </w:pPr>
    </w:p>
    <w:p w14:paraId="6520EDDD" w14:textId="77777777" w:rsidR="001E3286" w:rsidRDefault="001E3286" w:rsidP="001F500D">
      <w:pPr>
        <w:jc w:val="both"/>
        <w:rPr>
          <w:sz w:val="22"/>
          <w:szCs w:val="22"/>
        </w:rPr>
      </w:pPr>
    </w:p>
    <w:p w14:paraId="3B522E32" w14:textId="77777777" w:rsidR="001E3286" w:rsidRDefault="001E3286" w:rsidP="001F500D">
      <w:pPr>
        <w:jc w:val="both"/>
        <w:rPr>
          <w:sz w:val="22"/>
          <w:szCs w:val="22"/>
        </w:rPr>
      </w:pPr>
    </w:p>
    <w:p w14:paraId="5AC3181E" w14:textId="77777777" w:rsidR="001E3286" w:rsidRDefault="001E3286" w:rsidP="001F500D">
      <w:pPr>
        <w:jc w:val="both"/>
        <w:rPr>
          <w:sz w:val="22"/>
          <w:szCs w:val="22"/>
        </w:rPr>
      </w:pPr>
    </w:p>
    <w:p w14:paraId="09811C94" w14:textId="77777777" w:rsidR="001E3286" w:rsidRDefault="001E3286" w:rsidP="00B86975">
      <w:pPr>
        <w:rPr>
          <w:sz w:val="22"/>
          <w:szCs w:val="22"/>
        </w:rPr>
      </w:pPr>
    </w:p>
    <w:p w14:paraId="39321FE6" w14:textId="77777777" w:rsidR="001E3286" w:rsidRDefault="001E3286" w:rsidP="00B86975">
      <w:pPr>
        <w:rPr>
          <w:sz w:val="22"/>
          <w:szCs w:val="22"/>
        </w:rPr>
      </w:pPr>
    </w:p>
    <w:p w14:paraId="52FE94FE" w14:textId="77777777" w:rsidR="001E3286" w:rsidRDefault="001E3286" w:rsidP="00B86975">
      <w:pPr>
        <w:rPr>
          <w:sz w:val="22"/>
          <w:szCs w:val="22"/>
        </w:rPr>
      </w:pPr>
    </w:p>
    <w:p w14:paraId="0BA6B755" w14:textId="77777777" w:rsidR="001E3286" w:rsidRDefault="001E3286" w:rsidP="00B86975">
      <w:pPr>
        <w:rPr>
          <w:sz w:val="22"/>
          <w:szCs w:val="22"/>
        </w:rPr>
      </w:pPr>
    </w:p>
    <w:p w14:paraId="15D3F04E" w14:textId="77777777" w:rsidR="001E3286" w:rsidRDefault="001E3286" w:rsidP="00B86975">
      <w:pPr>
        <w:rPr>
          <w:sz w:val="22"/>
          <w:szCs w:val="22"/>
        </w:rPr>
      </w:pPr>
    </w:p>
    <w:p w14:paraId="7EB68B31" w14:textId="77777777" w:rsidR="001E3286" w:rsidRPr="001E3286" w:rsidRDefault="001E3286" w:rsidP="00B86975">
      <w:pPr>
        <w:rPr>
          <w:sz w:val="22"/>
          <w:szCs w:val="22"/>
        </w:rPr>
      </w:pPr>
    </w:p>
    <w:p w14:paraId="3C06D31B" w14:textId="77777777" w:rsidR="00C1422A" w:rsidRPr="001E3286" w:rsidRDefault="00C1422A" w:rsidP="001921FB">
      <w:pPr>
        <w:pStyle w:val="Heading1"/>
      </w:pPr>
      <w:r w:rsidRPr="001E3286">
        <w:t>Key Terms and Conditions</w:t>
      </w:r>
    </w:p>
    <w:p w14:paraId="6CDD99D5" w14:textId="77777777" w:rsidR="00C1422A" w:rsidRPr="001E3286" w:rsidRDefault="00C1422A" w:rsidP="00C1422A">
      <w:pPr>
        <w:rPr>
          <w:rFonts w:ascii="Gotham" w:hAnsi="Gotham"/>
          <w:sz w:val="22"/>
          <w:szCs w:val="22"/>
        </w:rPr>
      </w:pPr>
    </w:p>
    <w:tbl>
      <w:tblPr>
        <w:tblStyle w:val="TableGrid"/>
        <w:tblW w:w="0" w:type="auto"/>
        <w:tblLook w:val="04A0" w:firstRow="1" w:lastRow="0" w:firstColumn="1" w:lastColumn="0" w:noHBand="0" w:noVBand="1"/>
      </w:tblPr>
      <w:tblGrid>
        <w:gridCol w:w="2204"/>
        <w:gridCol w:w="7967"/>
      </w:tblGrid>
      <w:tr w:rsidR="00A223A9" w:rsidRPr="001E3286" w14:paraId="55806E61" w14:textId="77777777" w:rsidTr="001E3286">
        <w:tc>
          <w:tcPr>
            <w:tcW w:w="2204" w:type="dxa"/>
            <w:shd w:val="clear" w:color="auto" w:fill="D9D9D9" w:themeFill="background1" w:themeFillShade="D9"/>
          </w:tcPr>
          <w:p w14:paraId="0C637738" w14:textId="77777777" w:rsidR="00A223A9" w:rsidRPr="001E3286" w:rsidRDefault="00A223A9" w:rsidP="00A223A9">
            <w:pPr>
              <w:jc w:val="left"/>
              <w:rPr>
                <w:rFonts w:ascii="Gotham" w:hAnsi="Gotham"/>
                <w:sz w:val="22"/>
                <w:szCs w:val="22"/>
              </w:rPr>
            </w:pPr>
          </w:p>
          <w:p w14:paraId="5EE1561D" w14:textId="77777777" w:rsidR="00A223A9" w:rsidRPr="001E3286" w:rsidRDefault="00A223A9" w:rsidP="00A223A9">
            <w:pPr>
              <w:jc w:val="left"/>
              <w:rPr>
                <w:rFonts w:ascii="Gotham" w:hAnsi="Gotham"/>
                <w:sz w:val="22"/>
                <w:szCs w:val="22"/>
              </w:rPr>
            </w:pPr>
            <w:r w:rsidRPr="001E3286">
              <w:rPr>
                <w:rFonts w:ascii="Gotham" w:hAnsi="Gotham"/>
                <w:sz w:val="22"/>
                <w:szCs w:val="22"/>
              </w:rPr>
              <w:t>Hours:</w:t>
            </w:r>
            <w:r w:rsidRPr="001E3286">
              <w:rPr>
                <w:rFonts w:ascii="Gotham" w:hAnsi="Gotham"/>
                <w:sz w:val="22"/>
                <w:szCs w:val="22"/>
              </w:rPr>
              <w:tab/>
            </w:r>
          </w:p>
        </w:tc>
        <w:tc>
          <w:tcPr>
            <w:tcW w:w="7967" w:type="dxa"/>
            <w:tcBorders>
              <w:bottom w:val="single" w:sz="4" w:space="0" w:color="auto"/>
            </w:tcBorders>
            <w:shd w:val="clear" w:color="auto" w:fill="auto"/>
          </w:tcPr>
          <w:p w14:paraId="05B18E46" w14:textId="77777777" w:rsidR="000421E4" w:rsidRPr="001E3286" w:rsidRDefault="000421E4" w:rsidP="000421E4">
            <w:pPr>
              <w:jc w:val="left"/>
              <w:rPr>
                <w:rFonts w:ascii="Gotham" w:eastAsia="Calibri" w:hAnsi="Gotham"/>
                <w:i/>
                <w:color w:val="FF0000"/>
                <w:sz w:val="22"/>
                <w:szCs w:val="22"/>
              </w:rPr>
            </w:pPr>
          </w:p>
          <w:p w14:paraId="07ABD0F3" w14:textId="77777777" w:rsidR="000421E4" w:rsidRPr="001E3286" w:rsidRDefault="001F500D" w:rsidP="000421E4">
            <w:pPr>
              <w:jc w:val="left"/>
              <w:rPr>
                <w:rFonts w:ascii="Gotham" w:hAnsi="Gotham"/>
                <w:color w:val="FF0000"/>
                <w:sz w:val="22"/>
                <w:szCs w:val="22"/>
              </w:rPr>
            </w:pPr>
            <w:r>
              <w:rPr>
                <w:rFonts w:ascii="Gotham" w:hAnsi="Gotham"/>
                <w:sz w:val="22"/>
                <w:szCs w:val="22"/>
              </w:rPr>
              <w:t>37</w:t>
            </w:r>
            <w:r w:rsidR="001921FB">
              <w:rPr>
                <w:rFonts w:ascii="Gotham" w:hAnsi="Gotham"/>
                <w:sz w:val="22"/>
                <w:szCs w:val="22"/>
              </w:rPr>
              <w:t xml:space="preserve"> hours per week with </w:t>
            </w:r>
            <w:r w:rsidR="000421E4" w:rsidRPr="001921FB">
              <w:rPr>
                <w:rFonts w:ascii="Gotham" w:hAnsi="Gotham"/>
                <w:sz w:val="22"/>
                <w:szCs w:val="22"/>
              </w:rPr>
              <w:t>flexibility required to cover early mornings, evenings and weekends</w:t>
            </w:r>
            <w:r w:rsidR="000421E4" w:rsidRPr="001E3286">
              <w:rPr>
                <w:rFonts w:ascii="Gotham" w:hAnsi="Gotham"/>
                <w:color w:val="FF0000"/>
                <w:sz w:val="22"/>
                <w:szCs w:val="22"/>
              </w:rPr>
              <w:t>.</w:t>
            </w:r>
          </w:p>
          <w:p w14:paraId="657BB29F" w14:textId="77777777" w:rsidR="00A223A9" w:rsidRPr="001E3286" w:rsidRDefault="00A223A9" w:rsidP="00A223A9">
            <w:pPr>
              <w:jc w:val="left"/>
              <w:rPr>
                <w:rFonts w:ascii="Gotham" w:eastAsia="Calibri" w:hAnsi="Gotham"/>
                <w:i/>
                <w:color w:val="FF0000"/>
                <w:sz w:val="22"/>
                <w:szCs w:val="22"/>
              </w:rPr>
            </w:pPr>
          </w:p>
        </w:tc>
      </w:tr>
      <w:tr w:rsidR="00C1422A" w:rsidRPr="001E3286" w14:paraId="302EE53E" w14:textId="77777777" w:rsidTr="001E3286">
        <w:tc>
          <w:tcPr>
            <w:tcW w:w="2204" w:type="dxa"/>
            <w:shd w:val="clear" w:color="auto" w:fill="D9D9D9" w:themeFill="background1" w:themeFillShade="D9"/>
          </w:tcPr>
          <w:p w14:paraId="3B17594D" w14:textId="77777777" w:rsidR="00C603B0" w:rsidRPr="001E3286" w:rsidRDefault="00C603B0" w:rsidP="00C1422A">
            <w:pPr>
              <w:jc w:val="left"/>
              <w:rPr>
                <w:rFonts w:ascii="Gotham" w:hAnsi="Gotham"/>
                <w:sz w:val="22"/>
                <w:szCs w:val="22"/>
              </w:rPr>
            </w:pPr>
          </w:p>
          <w:p w14:paraId="09C9C58E" w14:textId="77777777" w:rsidR="00C1422A" w:rsidRPr="001E3286" w:rsidRDefault="009D1F26" w:rsidP="00C1422A">
            <w:pPr>
              <w:jc w:val="left"/>
              <w:rPr>
                <w:rFonts w:ascii="Gotham" w:hAnsi="Gotham"/>
                <w:sz w:val="22"/>
                <w:szCs w:val="22"/>
              </w:rPr>
            </w:pPr>
            <w:r w:rsidRPr="001E3286">
              <w:rPr>
                <w:rFonts w:ascii="Gotham" w:hAnsi="Gotham"/>
                <w:sz w:val="22"/>
                <w:szCs w:val="22"/>
              </w:rPr>
              <w:t>Pension:</w:t>
            </w:r>
          </w:p>
        </w:tc>
        <w:tc>
          <w:tcPr>
            <w:tcW w:w="7967" w:type="dxa"/>
            <w:tcBorders>
              <w:bottom w:val="single" w:sz="4" w:space="0" w:color="auto"/>
            </w:tcBorders>
          </w:tcPr>
          <w:p w14:paraId="1CAC7F40" w14:textId="77777777" w:rsidR="00C603B0" w:rsidRPr="001E3286" w:rsidRDefault="00C603B0" w:rsidP="00FF11F5">
            <w:pPr>
              <w:jc w:val="left"/>
              <w:rPr>
                <w:rFonts w:ascii="Gotham" w:hAnsi="Gotham"/>
                <w:sz w:val="22"/>
                <w:szCs w:val="22"/>
              </w:rPr>
            </w:pPr>
          </w:p>
          <w:p w14:paraId="209A899A" w14:textId="77777777" w:rsidR="00C603B0" w:rsidRPr="001E3286" w:rsidRDefault="00A22874" w:rsidP="00FF11F5">
            <w:pPr>
              <w:jc w:val="left"/>
              <w:rPr>
                <w:rFonts w:ascii="Gotham" w:hAnsi="Gotham"/>
                <w:sz w:val="22"/>
                <w:szCs w:val="22"/>
              </w:rPr>
            </w:pPr>
            <w:r w:rsidRPr="001E3286">
              <w:rPr>
                <w:rFonts w:ascii="Gotham" w:hAnsi="Gotham"/>
                <w:sz w:val="22"/>
                <w:szCs w:val="22"/>
              </w:rPr>
              <w:t xml:space="preserve">All eligible staff will be auto-enrolled into a stakeholder pension scheme offered by </w:t>
            </w:r>
            <w:r w:rsidR="001F500D">
              <w:rPr>
                <w:rFonts w:ascii="Gotham" w:hAnsi="Gotham"/>
                <w:sz w:val="22"/>
                <w:szCs w:val="22"/>
              </w:rPr>
              <w:t>Aviva</w:t>
            </w:r>
            <w:r w:rsidRPr="001E3286">
              <w:rPr>
                <w:rFonts w:ascii="Gotham" w:hAnsi="Gotham"/>
                <w:sz w:val="22"/>
                <w:szCs w:val="22"/>
              </w:rPr>
              <w:t xml:space="preserve"> upon commencement of employment. Upon auto-enrolment staff will receive a welcome pack. </w:t>
            </w:r>
          </w:p>
          <w:p w14:paraId="639D9A22" w14:textId="77777777" w:rsidR="00A22874" w:rsidRPr="001E3286" w:rsidRDefault="00A22874" w:rsidP="00FF11F5">
            <w:pPr>
              <w:jc w:val="left"/>
              <w:rPr>
                <w:rFonts w:ascii="Gotham" w:hAnsi="Gotham"/>
                <w:sz w:val="22"/>
                <w:szCs w:val="22"/>
              </w:rPr>
            </w:pPr>
          </w:p>
        </w:tc>
      </w:tr>
      <w:tr w:rsidR="00C1422A" w:rsidRPr="001E3286" w14:paraId="4E698310" w14:textId="77777777" w:rsidTr="001E3286">
        <w:tc>
          <w:tcPr>
            <w:tcW w:w="2204" w:type="dxa"/>
            <w:shd w:val="clear" w:color="auto" w:fill="D9D9D9" w:themeFill="background1" w:themeFillShade="D9"/>
          </w:tcPr>
          <w:p w14:paraId="121D3BAA" w14:textId="77777777" w:rsidR="00C603B0" w:rsidRPr="001E3286" w:rsidRDefault="00C603B0" w:rsidP="00C1422A">
            <w:pPr>
              <w:jc w:val="left"/>
              <w:rPr>
                <w:rFonts w:ascii="Gotham" w:hAnsi="Gotham"/>
                <w:sz w:val="22"/>
                <w:szCs w:val="22"/>
              </w:rPr>
            </w:pPr>
          </w:p>
          <w:p w14:paraId="0686AED2" w14:textId="77777777" w:rsidR="00C1422A" w:rsidRPr="001E3286" w:rsidRDefault="009D1F26" w:rsidP="00C1422A">
            <w:pPr>
              <w:jc w:val="left"/>
              <w:rPr>
                <w:rFonts w:ascii="Gotham" w:hAnsi="Gotham"/>
                <w:sz w:val="22"/>
                <w:szCs w:val="22"/>
              </w:rPr>
            </w:pPr>
            <w:r w:rsidRPr="001E3286">
              <w:rPr>
                <w:rFonts w:ascii="Gotham" w:hAnsi="Gotham"/>
                <w:sz w:val="22"/>
                <w:szCs w:val="22"/>
              </w:rPr>
              <w:t>Contract:</w:t>
            </w:r>
          </w:p>
        </w:tc>
        <w:tc>
          <w:tcPr>
            <w:tcW w:w="7967" w:type="dxa"/>
            <w:tcBorders>
              <w:top w:val="single" w:sz="4" w:space="0" w:color="auto"/>
            </w:tcBorders>
          </w:tcPr>
          <w:p w14:paraId="77ED5B65" w14:textId="77777777" w:rsidR="00C603B0" w:rsidRPr="001E3286" w:rsidRDefault="00C603B0" w:rsidP="00C1422A">
            <w:pPr>
              <w:jc w:val="left"/>
              <w:rPr>
                <w:rFonts w:ascii="Gotham" w:hAnsi="Gotham"/>
                <w:sz w:val="22"/>
                <w:szCs w:val="22"/>
              </w:rPr>
            </w:pPr>
          </w:p>
          <w:p w14:paraId="67D818DE" w14:textId="77777777" w:rsidR="00C1422A" w:rsidRPr="001921FB" w:rsidRDefault="001F500D" w:rsidP="00C1422A">
            <w:pPr>
              <w:jc w:val="left"/>
              <w:rPr>
                <w:rFonts w:ascii="Gotham" w:hAnsi="Gotham"/>
                <w:sz w:val="22"/>
                <w:szCs w:val="22"/>
              </w:rPr>
            </w:pPr>
            <w:r>
              <w:rPr>
                <w:rFonts w:ascii="Gotham" w:hAnsi="Gotham"/>
                <w:sz w:val="22"/>
                <w:szCs w:val="22"/>
              </w:rPr>
              <w:t xml:space="preserve">10 </w:t>
            </w:r>
            <w:r w:rsidR="001921FB" w:rsidRPr="001921FB">
              <w:rPr>
                <w:rFonts w:ascii="Gotham" w:hAnsi="Gotham"/>
                <w:sz w:val="22"/>
                <w:szCs w:val="22"/>
              </w:rPr>
              <w:t xml:space="preserve">months </w:t>
            </w:r>
            <w:r w:rsidR="001921FB">
              <w:rPr>
                <w:rFonts w:ascii="Gotham" w:hAnsi="Gotham"/>
                <w:sz w:val="22"/>
                <w:szCs w:val="22"/>
              </w:rPr>
              <w:t xml:space="preserve">fixed term contract or secondment </w:t>
            </w:r>
          </w:p>
          <w:p w14:paraId="683EDB22" w14:textId="77777777" w:rsidR="007D6675" w:rsidRPr="001E3286" w:rsidRDefault="007D6675" w:rsidP="00C1422A">
            <w:pPr>
              <w:jc w:val="left"/>
              <w:rPr>
                <w:rFonts w:ascii="Gotham" w:hAnsi="Gotham"/>
                <w:sz w:val="22"/>
                <w:szCs w:val="22"/>
              </w:rPr>
            </w:pPr>
          </w:p>
        </w:tc>
      </w:tr>
      <w:tr w:rsidR="00C1422A" w:rsidRPr="001E3286" w14:paraId="3C9439E5" w14:textId="77777777" w:rsidTr="00A223A9">
        <w:tc>
          <w:tcPr>
            <w:tcW w:w="2204" w:type="dxa"/>
            <w:shd w:val="clear" w:color="auto" w:fill="D9D9D9" w:themeFill="background1" w:themeFillShade="D9"/>
          </w:tcPr>
          <w:p w14:paraId="40D5E33D" w14:textId="77777777" w:rsidR="00C603B0" w:rsidRPr="001E3286" w:rsidRDefault="00C603B0" w:rsidP="00C1422A">
            <w:pPr>
              <w:jc w:val="left"/>
              <w:rPr>
                <w:rFonts w:ascii="Gotham" w:hAnsi="Gotham"/>
                <w:sz w:val="22"/>
                <w:szCs w:val="22"/>
              </w:rPr>
            </w:pPr>
          </w:p>
          <w:p w14:paraId="687B809C" w14:textId="77777777" w:rsidR="00C1422A" w:rsidRPr="001E3286" w:rsidRDefault="009D1F26" w:rsidP="00C1422A">
            <w:pPr>
              <w:jc w:val="left"/>
              <w:rPr>
                <w:rFonts w:ascii="Gotham" w:hAnsi="Gotham"/>
                <w:sz w:val="22"/>
                <w:szCs w:val="22"/>
              </w:rPr>
            </w:pPr>
            <w:r w:rsidRPr="001E3286">
              <w:rPr>
                <w:rFonts w:ascii="Gotham" w:hAnsi="Gotham"/>
                <w:sz w:val="22"/>
                <w:szCs w:val="22"/>
              </w:rPr>
              <w:t>Annual Leave</w:t>
            </w:r>
            <w:r w:rsidR="00FF11F5" w:rsidRPr="001E3286">
              <w:rPr>
                <w:rFonts w:ascii="Gotham" w:hAnsi="Gotham"/>
                <w:sz w:val="22"/>
                <w:szCs w:val="22"/>
              </w:rPr>
              <w:t>:</w:t>
            </w:r>
          </w:p>
        </w:tc>
        <w:tc>
          <w:tcPr>
            <w:tcW w:w="7967" w:type="dxa"/>
          </w:tcPr>
          <w:p w14:paraId="6501DEA0" w14:textId="77777777" w:rsidR="00C603B0" w:rsidRPr="001E3286" w:rsidRDefault="00C603B0" w:rsidP="00C603B0">
            <w:pPr>
              <w:jc w:val="left"/>
              <w:rPr>
                <w:rFonts w:ascii="Gotham" w:hAnsi="Gotham"/>
                <w:sz w:val="22"/>
                <w:szCs w:val="22"/>
              </w:rPr>
            </w:pPr>
          </w:p>
          <w:p w14:paraId="13C686EE" w14:textId="77777777" w:rsidR="00C1422A" w:rsidRPr="001E3286" w:rsidRDefault="00C6688A" w:rsidP="00C603B0">
            <w:pPr>
              <w:jc w:val="left"/>
              <w:rPr>
                <w:rFonts w:ascii="Gotham" w:hAnsi="Gotham"/>
                <w:sz w:val="22"/>
                <w:szCs w:val="22"/>
              </w:rPr>
            </w:pPr>
            <w:r w:rsidRPr="001E3286">
              <w:rPr>
                <w:rFonts w:ascii="Gotham" w:hAnsi="Gotham"/>
                <w:sz w:val="22"/>
                <w:szCs w:val="22"/>
              </w:rPr>
              <w:t xml:space="preserve">25 days </w:t>
            </w:r>
            <w:r w:rsidR="001F500D">
              <w:rPr>
                <w:rFonts w:ascii="Gotham" w:hAnsi="Gotham"/>
                <w:sz w:val="22"/>
                <w:szCs w:val="22"/>
              </w:rPr>
              <w:t xml:space="preserve"> </w:t>
            </w:r>
            <w:r w:rsidRPr="001E3286">
              <w:rPr>
                <w:rFonts w:ascii="Gotham" w:hAnsi="Gotham"/>
                <w:sz w:val="22"/>
                <w:szCs w:val="22"/>
              </w:rPr>
              <w:t>(not including bank holidays).</w:t>
            </w:r>
          </w:p>
          <w:p w14:paraId="42331407" w14:textId="77777777" w:rsidR="00C603B0" w:rsidRPr="001E3286" w:rsidRDefault="00C603B0" w:rsidP="00C603B0">
            <w:pPr>
              <w:jc w:val="left"/>
              <w:rPr>
                <w:rFonts w:ascii="Gotham" w:hAnsi="Gotham"/>
                <w:sz w:val="22"/>
                <w:szCs w:val="22"/>
              </w:rPr>
            </w:pPr>
          </w:p>
        </w:tc>
      </w:tr>
    </w:tbl>
    <w:p w14:paraId="1D7DC881" w14:textId="77777777" w:rsidR="00C60C21" w:rsidRPr="001E3286" w:rsidRDefault="00C60C21" w:rsidP="00C1422A">
      <w:pPr>
        <w:rPr>
          <w:rFonts w:ascii="Gotham" w:hAnsi="Gotham"/>
          <w:sz w:val="22"/>
          <w:szCs w:val="22"/>
        </w:rPr>
        <w:sectPr w:rsidR="00C60C21" w:rsidRPr="001E3286" w:rsidSect="00021BAA">
          <w:pgSz w:w="11909" w:h="16834" w:code="9"/>
          <w:pgMar w:top="709" w:right="864" w:bottom="1276" w:left="864" w:header="720" w:footer="478" w:gutter="0"/>
          <w:cols w:space="720"/>
          <w:docGrid w:linePitch="360"/>
        </w:sectPr>
      </w:pPr>
    </w:p>
    <w:p w14:paraId="7D81CD2F" w14:textId="77777777" w:rsidR="00C1422A" w:rsidRPr="003577FF" w:rsidRDefault="00C1422A" w:rsidP="00C1422A">
      <w:pPr>
        <w:rPr>
          <w:rFonts w:ascii="Gotham" w:hAnsi="Gotham"/>
        </w:rPr>
      </w:pPr>
    </w:p>
    <w:p w14:paraId="77A9797C" w14:textId="77777777" w:rsidR="000B5ED0" w:rsidRPr="001E3286" w:rsidRDefault="008E33DC" w:rsidP="001921FB">
      <w:pPr>
        <w:pStyle w:val="Heading1"/>
      </w:pPr>
      <w:r>
        <w:t>S</w:t>
      </w:r>
      <w:r w:rsidR="00FF11F5" w:rsidRPr="001E3286">
        <w:t xml:space="preserve">ummary </w:t>
      </w:r>
      <w:r w:rsidR="002F4DFC" w:rsidRPr="001E3286">
        <w:t>of the Role</w:t>
      </w:r>
    </w:p>
    <w:p w14:paraId="3BA67C2A" w14:textId="580D0D63" w:rsidR="005F51FB" w:rsidRPr="001921FB" w:rsidRDefault="005F51FB" w:rsidP="005F51FB">
      <w:pPr>
        <w:spacing w:before="100" w:beforeAutospacing="1" w:after="100" w:afterAutospacing="1"/>
        <w:rPr>
          <w:rFonts w:ascii="Gotham" w:hAnsi="Gotham" w:cs="Arial"/>
          <w:color w:val="000000" w:themeColor="text1"/>
          <w:sz w:val="22"/>
          <w:szCs w:val="22"/>
        </w:rPr>
      </w:pPr>
      <w:r w:rsidRPr="001921FB">
        <w:rPr>
          <w:rFonts w:ascii="Gotham" w:hAnsi="Gotham"/>
          <w:sz w:val="22"/>
          <w:szCs w:val="22"/>
        </w:rPr>
        <w:t>The HARP navigator will support people</w:t>
      </w:r>
      <w:r>
        <w:rPr>
          <w:rFonts w:ascii="Gotham" w:hAnsi="Gotham"/>
          <w:sz w:val="22"/>
          <w:szCs w:val="22"/>
        </w:rPr>
        <w:t xml:space="preserve"> who are homeless</w:t>
      </w:r>
      <w:r w:rsidRPr="001921FB">
        <w:rPr>
          <w:rFonts w:ascii="Gotham" w:hAnsi="Gotham"/>
          <w:sz w:val="22"/>
          <w:szCs w:val="22"/>
        </w:rPr>
        <w:t xml:space="preserve"> through their admission to A and E to accessing services within the community. The post holder will be expected to navigate local service provision, building strong relationships with a range of different professionals whilst advocating on the individual’s behalf. They will work closely with HARP clinic</w:t>
      </w:r>
      <w:r w:rsidR="001A723F">
        <w:rPr>
          <w:rFonts w:ascii="Gotham" w:hAnsi="Gotham"/>
          <w:sz w:val="22"/>
          <w:szCs w:val="22"/>
        </w:rPr>
        <w:t>ians</w:t>
      </w:r>
      <w:r w:rsidRPr="001921FB">
        <w:rPr>
          <w:rFonts w:ascii="Gotham" w:hAnsi="Gotham"/>
          <w:sz w:val="22"/>
          <w:szCs w:val="22"/>
        </w:rPr>
        <w:t xml:space="preserve"> co-located within local homeless services and street triage, as well as identifying peer mentors to support the individual to access further services based on their needs. </w:t>
      </w:r>
    </w:p>
    <w:p w14:paraId="7CF6234E" w14:textId="77777777" w:rsidR="00B87093" w:rsidRPr="001E3286" w:rsidRDefault="00B87093" w:rsidP="00B87093">
      <w:pPr>
        <w:tabs>
          <w:tab w:val="left" w:pos="2656"/>
        </w:tabs>
        <w:spacing w:before="10" w:line="276" w:lineRule="auto"/>
        <w:rPr>
          <w:rFonts w:ascii="Gotham" w:hAnsi="Gotham" w:cs="Arial"/>
          <w:sz w:val="22"/>
          <w:szCs w:val="22"/>
        </w:rPr>
      </w:pPr>
    </w:p>
    <w:p w14:paraId="09B5758E" w14:textId="77777777" w:rsidR="00B52940" w:rsidRPr="001E3286" w:rsidRDefault="00815AD5" w:rsidP="001921FB">
      <w:pPr>
        <w:pStyle w:val="Heading1"/>
      </w:pPr>
      <w:r w:rsidRPr="001E3286">
        <w:t xml:space="preserve">Key </w:t>
      </w:r>
      <w:r w:rsidR="00B322E4" w:rsidRPr="001E3286">
        <w:t>Responsibilities</w:t>
      </w:r>
      <w:r w:rsidR="00E876B9" w:rsidRPr="001E3286">
        <w:t xml:space="preserve"> </w:t>
      </w:r>
    </w:p>
    <w:p w14:paraId="116B72C6" w14:textId="77777777" w:rsidR="00E962D4" w:rsidRPr="001E3286" w:rsidRDefault="00E962D4" w:rsidP="00E962D4">
      <w:pPr>
        <w:rPr>
          <w:rFonts w:ascii="Gotham" w:hAnsi="Gotham"/>
          <w:sz w:val="22"/>
          <w:szCs w:val="22"/>
        </w:rPr>
      </w:pPr>
    </w:p>
    <w:p w14:paraId="621ED385" w14:textId="77777777" w:rsidR="001921FB" w:rsidRPr="001921FB" w:rsidRDefault="001921FB" w:rsidP="001921FB">
      <w:pPr>
        <w:rPr>
          <w:rFonts w:ascii="Gotham" w:hAnsi="Gotham"/>
          <w:sz w:val="22"/>
          <w:szCs w:val="22"/>
          <w:u w:val="single"/>
        </w:rPr>
      </w:pPr>
      <w:r w:rsidRPr="001921FB">
        <w:rPr>
          <w:rFonts w:ascii="Gotham" w:hAnsi="Gotham"/>
          <w:sz w:val="22"/>
          <w:szCs w:val="22"/>
          <w:u w:val="single"/>
        </w:rPr>
        <w:t xml:space="preserve">Focus on System Change and Navigation of support </w:t>
      </w:r>
    </w:p>
    <w:p w14:paraId="53A57AFE" w14:textId="77777777" w:rsidR="001921FB" w:rsidRPr="001921FB" w:rsidRDefault="001921FB" w:rsidP="001921FB">
      <w:pPr>
        <w:keepNext/>
        <w:keepLines/>
        <w:ind w:left="1080"/>
        <w:jc w:val="both"/>
        <w:outlineLvl w:val="1"/>
        <w:rPr>
          <w:rFonts w:ascii="Gotham" w:eastAsiaTheme="majorEastAsia" w:hAnsi="Gotham" w:cstheme="majorBidi"/>
          <w:bCs/>
          <w:sz w:val="22"/>
          <w:szCs w:val="22"/>
        </w:rPr>
      </w:pPr>
    </w:p>
    <w:p w14:paraId="0E6C4EC6"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 xml:space="preserve">Identify barriers (i.e. in eligibility criteria or approach) which require high-level operational strategic change via the Systems Leadership group focusing discharges to the streets </w:t>
      </w:r>
    </w:p>
    <w:p w14:paraId="6C16B601"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 xml:space="preserve">To ensure that these barriers are reported to, understood, and actioned by the wider Systems Leadership group and HARP team </w:t>
      </w:r>
    </w:p>
    <w:p w14:paraId="3E51276B"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 xml:space="preserve">To effect system changes that can more effectively support those who attend A and E who currently rough sleeping, and ensures that positive changes are made in the way that local services are provided. </w:t>
      </w:r>
    </w:p>
    <w:p w14:paraId="4A6212CE"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Ensure that learning from the project informs improvements to / redesigning of service pathway approaches by recommending changes in the delivery of local services</w:t>
      </w:r>
    </w:p>
    <w:p w14:paraId="2F7847FF"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To work with individuals attending A and E  and their support networks to create personalised service responses, with the long term aim to secure sustainable accommodation</w:t>
      </w:r>
    </w:p>
    <w:p w14:paraId="346ECF57" w14:textId="77777777" w:rsidR="0046264D"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Put in place an ongoing referral mechanism and to keep a working caseload</w:t>
      </w:r>
      <w:r w:rsidR="0046264D">
        <w:rPr>
          <w:rFonts w:ascii="Gotham" w:hAnsi="Gotham" w:cs="Arial"/>
          <w:sz w:val="22"/>
          <w:szCs w:val="22"/>
        </w:rPr>
        <w:t xml:space="preserve"> through the period of the project </w:t>
      </w:r>
    </w:p>
    <w:p w14:paraId="1A14FDF2" w14:textId="77777777" w:rsidR="001921FB" w:rsidRPr="001921FB" w:rsidRDefault="0046264D" w:rsidP="001921FB">
      <w:pPr>
        <w:numPr>
          <w:ilvl w:val="0"/>
          <w:numId w:val="35"/>
        </w:numPr>
        <w:spacing w:after="200" w:line="276" w:lineRule="auto"/>
        <w:contextualSpacing/>
        <w:rPr>
          <w:rFonts w:ascii="Gotham" w:hAnsi="Gotham" w:cs="Arial"/>
          <w:sz w:val="22"/>
          <w:szCs w:val="22"/>
        </w:rPr>
      </w:pPr>
      <w:r>
        <w:rPr>
          <w:rFonts w:ascii="Gotham" w:hAnsi="Gotham" w:cs="Arial"/>
          <w:sz w:val="22"/>
          <w:szCs w:val="22"/>
        </w:rPr>
        <w:t xml:space="preserve">To become familiar with staff and systems within the clinical setting of an A and E department; </w:t>
      </w:r>
      <w:r w:rsidR="001921FB" w:rsidRPr="001921FB">
        <w:rPr>
          <w:rFonts w:ascii="Gotham" w:hAnsi="Gotham" w:cs="Arial"/>
          <w:sz w:val="22"/>
          <w:szCs w:val="22"/>
        </w:rPr>
        <w:t>assessing frequent attenders to A and E who are rough sleeping, whilst working closely with all other identified key workers throughout the period of the project</w:t>
      </w:r>
    </w:p>
    <w:p w14:paraId="325EEF60"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lastRenderedPageBreak/>
        <w:t>Attend monthly Operational Groups to discuss individual’s needs and situations, to enable swift access to appropriate services and ensure that barriers are addressed so that service users can access suitable services.</w:t>
      </w:r>
    </w:p>
    <w:p w14:paraId="7F121422" w14:textId="06DBC638"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To w</w:t>
      </w:r>
      <w:r w:rsidR="00055F34">
        <w:rPr>
          <w:rFonts w:ascii="Gotham" w:hAnsi="Gotham" w:cs="Arial"/>
          <w:sz w:val="22"/>
          <w:szCs w:val="22"/>
        </w:rPr>
        <w:t>ork with A and E department, HARP clinical navigators, Peer M</w:t>
      </w:r>
      <w:r w:rsidRPr="001921FB">
        <w:rPr>
          <w:rFonts w:ascii="Gotham" w:hAnsi="Gotham" w:cs="Arial"/>
          <w:sz w:val="22"/>
          <w:szCs w:val="22"/>
        </w:rPr>
        <w:t>entors</w:t>
      </w:r>
      <w:r w:rsidR="00055F34">
        <w:rPr>
          <w:rFonts w:ascii="Gotham" w:hAnsi="Gotham" w:cs="Arial"/>
          <w:sz w:val="22"/>
          <w:szCs w:val="22"/>
        </w:rPr>
        <w:t xml:space="preserve"> and </w:t>
      </w:r>
      <w:r w:rsidR="002E226A">
        <w:rPr>
          <w:rFonts w:ascii="Gotham" w:hAnsi="Gotham" w:cs="Arial"/>
          <w:sz w:val="22"/>
          <w:szCs w:val="22"/>
        </w:rPr>
        <w:t xml:space="preserve">Stonepillow </w:t>
      </w:r>
      <w:r w:rsidR="00055F34">
        <w:rPr>
          <w:rFonts w:ascii="Gotham" w:hAnsi="Gotham" w:cs="Arial"/>
          <w:sz w:val="22"/>
          <w:szCs w:val="22"/>
        </w:rPr>
        <w:t>Team</w:t>
      </w:r>
      <w:r w:rsidR="002E226A">
        <w:rPr>
          <w:rFonts w:ascii="Gotham" w:hAnsi="Gotham" w:cs="Arial"/>
          <w:sz w:val="22"/>
          <w:szCs w:val="22"/>
        </w:rPr>
        <w:t xml:space="preserve">s </w:t>
      </w:r>
      <w:r w:rsidRPr="001921FB">
        <w:rPr>
          <w:rFonts w:ascii="Gotham" w:hAnsi="Gotham" w:cs="Arial"/>
          <w:sz w:val="22"/>
          <w:szCs w:val="22"/>
        </w:rPr>
        <w:t>to develop a personalised case management approach for homeless excluded individuals with complex needs.</w:t>
      </w:r>
    </w:p>
    <w:p w14:paraId="739B4985" w14:textId="77777777" w:rsidR="001921FB" w:rsidRPr="00EE16E5" w:rsidRDefault="001921FB" w:rsidP="00EE16E5">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 xml:space="preserve">To support individuals from first admission to A and E, offering intensive wrap around support to connect them to wider community services including local voluntary and statutory services </w:t>
      </w:r>
    </w:p>
    <w:p w14:paraId="2760662F" w14:textId="77777777" w:rsidR="001921FB" w:rsidRDefault="001921FB" w:rsidP="001921FB">
      <w:pPr>
        <w:spacing w:after="200" w:line="276" w:lineRule="auto"/>
        <w:rPr>
          <w:rFonts w:ascii="Gotham" w:hAnsi="Gotham" w:cs="Arial"/>
          <w:sz w:val="22"/>
          <w:szCs w:val="22"/>
          <w:u w:val="single"/>
        </w:rPr>
      </w:pPr>
    </w:p>
    <w:p w14:paraId="383CDE15" w14:textId="77777777" w:rsidR="001921FB" w:rsidRDefault="001921FB" w:rsidP="001921FB">
      <w:pPr>
        <w:spacing w:after="200" w:line="276" w:lineRule="auto"/>
        <w:rPr>
          <w:rFonts w:ascii="Gotham" w:hAnsi="Gotham" w:cs="Arial"/>
          <w:sz w:val="22"/>
          <w:szCs w:val="22"/>
          <w:u w:val="single"/>
        </w:rPr>
      </w:pPr>
    </w:p>
    <w:p w14:paraId="1220B0A3" w14:textId="77777777" w:rsidR="001921FB" w:rsidRPr="001921FB" w:rsidRDefault="001921FB" w:rsidP="001921FB">
      <w:pPr>
        <w:spacing w:after="200" w:line="276" w:lineRule="auto"/>
        <w:rPr>
          <w:rFonts w:ascii="Gotham" w:hAnsi="Gotham" w:cs="Arial"/>
          <w:sz w:val="22"/>
          <w:szCs w:val="22"/>
          <w:u w:val="single"/>
        </w:rPr>
      </w:pPr>
      <w:r w:rsidRPr="001921FB">
        <w:rPr>
          <w:rFonts w:ascii="Gotham" w:hAnsi="Gotham" w:cs="Arial"/>
          <w:sz w:val="22"/>
          <w:szCs w:val="22"/>
          <w:u w:val="single"/>
        </w:rPr>
        <w:t xml:space="preserve">Learning and Development </w:t>
      </w:r>
    </w:p>
    <w:p w14:paraId="0B250B00"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Maintain a high level of knowledge and expertise on issues around multiple needs, such as drugs, Adult Safeguarding, Mental Capacity Act, mental and physical health conditions etc.</w:t>
      </w:r>
    </w:p>
    <w:p w14:paraId="2723B1CE"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Attend the local rough sleeping team meetings,</w:t>
      </w:r>
      <w:r w:rsidR="00732D03">
        <w:rPr>
          <w:rFonts w:ascii="Gotham" w:hAnsi="Gotham" w:cs="Arial"/>
          <w:sz w:val="22"/>
          <w:szCs w:val="22"/>
        </w:rPr>
        <w:t xml:space="preserve"> MDT meetings, </w:t>
      </w:r>
      <w:r w:rsidR="00732D03" w:rsidRPr="001921FB">
        <w:rPr>
          <w:rFonts w:ascii="Gotham" w:hAnsi="Gotham" w:cs="Arial"/>
          <w:sz w:val="22"/>
          <w:szCs w:val="22"/>
        </w:rPr>
        <w:t>HARP</w:t>
      </w:r>
      <w:r w:rsidRPr="001921FB">
        <w:rPr>
          <w:rFonts w:ascii="Gotham" w:hAnsi="Gotham" w:cs="Arial"/>
          <w:sz w:val="22"/>
          <w:szCs w:val="22"/>
        </w:rPr>
        <w:t xml:space="preserve"> operational and A and E meetings and any other groups as and when required.</w:t>
      </w:r>
    </w:p>
    <w:p w14:paraId="1F68E529"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Keep up-to-date with national policy and process developments.</w:t>
      </w:r>
    </w:p>
    <w:p w14:paraId="162C07A6"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Learn from recommendations and examples of good practice</w:t>
      </w:r>
      <w:r w:rsidR="00732D03">
        <w:rPr>
          <w:rFonts w:ascii="Gotham" w:hAnsi="Gotham" w:cs="Arial"/>
          <w:sz w:val="22"/>
          <w:szCs w:val="22"/>
        </w:rPr>
        <w:t xml:space="preserve"> of Navigator roles</w:t>
      </w:r>
      <w:r w:rsidRPr="001921FB">
        <w:rPr>
          <w:rFonts w:ascii="Gotham" w:hAnsi="Gotham" w:cs="Arial"/>
          <w:sz w:val="22"/>
          <w:szCs w:val="22"/>
        </w:rPr>
        <w:t xml:space="preserve"> from </w:t>
      </w:r>
      <w:r w:rsidR="00732D03">
        <w:rPr>
          <w:rFonts w:ascii="Gotham" w:hAnsi="Gotham" w:cs="Arial"/>
          <w:sz w:val="22"/>
          <w:szCs w:val="22"/>
        </w:rPr>
        <w:t xml:space="preserve">models such as </w:t>
      </w:r>
      <w:r w:rsidRPr="001921FB">
        <w:rPr>
          <w:rFonts w:ascii="Gotham" w:hAnsi="Gotham" w:cs="Arial"/>
          <w:sz w:val="22"/>
          <w:szCs w:val="22"/>
        </w:rPr>
        <w:t>MEAM and other multiple needs projects around the country.</w:t>
      </w:r>
    </w:p>
    <w:p w14:paraId="322E3629"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 xml:space="preserve">Explore and development understanding of psychologically and trauma informed practice </w:t>
      </w:r>
    </w:p>
    <w:p w14:paraId="31E087FB"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Participate in training and educational activities both for students, other internal staff and for outside bodies as required.</w:t>
      </w:r>
    </w:p>
    <w:p w14:paraId="0DCD6DCC" w14:textId="77777777" w:rsidR="001921FB" w:rsidRPr="001921FB" w:rsidRDefault="001921FB" w:rsidP="001921FB">
      <w:pPr>
        <w:numPr>
          <w:ilvl w:val="0"/>
          <w:numId w:val="35"/>
        </w:numPr>
        <w:spacing w:after="200" w:line="276" w:lineRule="auto"/>
        <w:contextualSpacing/>
        <w:rPr>
          <w:rFonts w:ascii="Gotham" w:hAnsi="Gotham" w:cs="Arial"/>
          <w:sz w:val="22"/>
          <w:szCs w:val="22"/>
        </w:rPr>
      </w:pPr>
      <w:r w:rsidRPr="001921FB">
        <w:rPr>
          <w:rFonts w:ascii="Gotham" w:hAnsi="Gotham" w:cs="Arial"/>
          <w:sz w:val="22"/>
          <w:szCs w:val="22"/>
        </w:rPr>
        <w:t xml:space="preserve">Develop own knowledge and skills as required including attending HARP one year training programme </w:t>
      </w:r>
    </w:p>
    <w:p w14:paraId="1CF9D4C6" w14:textId="77777777" w:rsidR="001921FB" w:rsidRPr="001921FB" w:rsidRDefault="001921FB" w:rsidP="001921FB">
      <w:pPr>
        <w:spacing w:after="200" w:line="276" w:lineRule="auto"/>
        <w:rPr>
          <w:rFonts w:ascii="Gotham" w:hAnsi="Gotham" w:cs="Arial"/>
          <w:sz w:val="22"/>
          <w:szCs w:val="22"/>
        </w:rPr>
      </w:pPr>
    </w:p>
    <w:p w14:paraId="3764631B" w14:textId="77777777" w:rsidR="001921FB" w:rsidRPr="001921FB" w:rsidRDefault="001921FB" w:rsidP="001921FB">
      <w:pPr>
        <w:spacing w:after="200" w:line="276" w:lineRule="auto"/>
        <w:rPr>
          <w:rFonts w:ascii="Gotham" w:eastAsiaTheme="minorHAnsi" w:hAnsi="Gotham" w:cs="Arial"/>
          <w:sz w:val="22"/>
          <w:szCs w:val="22"/>
          <w:u w:val="single"/>
        </w:rPr>
      </w:pPr>
      <w:r w:rsidRPr="001921FB">
        <w:rPr>
          <w:rFonts w:ascii="Gotham" w:eastAsiaTheme="minorHAnsi" w:hAnsi="Gotham" w:cs="Arial"/>
          <w:sz w:val="22"/>
          <w:szCs w:val="22"/>
          <w:u w:val="single"/>
        </w:rPr>
        <w:t xml:space="preserve">Monitoring </w:t>
      </w:r>
    </w:p>
    <w:p w14:paraId="213ADEF9" w14:textId="77777777" w:rsidR="001921FB" w:rsidRPr="001921FB" w:rsidRDefault="001921FB" w:rsidP="001921FB">
      <w:pPr>
        <w:numPr>
          <w:ilvl w:val="0"/>
          <w:numId w:val="35"/>
        </w:numPr>
        <w:spacing w:after="200" w:line="276" w:lineRule="auto"/>
        <w:contextualSpacing/>
        <w:rPr>
          <w:rFonts w:ascii="Gotham" w:eastAsiaTheme="minorHAnsi" w:hAnsi="Gotham" w:cs="Arial"/>
          <w:sz w:val="22"/>
          <w:szCs w:val="22"/>
        </w:rPr>
      </w:pPr>
      <w:r w:rsidRPr="001921FB">
        <w:rPr>
          <w:rFonts w:ascii="Gotham" w:eastAsiaTheme="minorHAnsi" w:hAnsi="Gotham" w:cs="Arial"/>
          <w:sz w:val="22"/>
          <w:szCs w:val="22"/>
        </w:rPr>
        <w:t>Participate in the staff review and development appraisal process.</w:t>
      </w:r>
    </w:p>
    <w:p w14:paraId="6A88B9F7" w14:textId="77777777" w:rsidR="001921FB" w:rsidRPr="001921FB" w:rsidRDefault="001921FB" w:rsidP="001921FB">
      <w:pPr>
        <w:numPr>
          <w:ilvl w:val="0"/>
          <w:numId w:val="35"/>
        </w:numPr>
        <w:spacing w:after="200" w:line="276" w:lineRule="auto"/>
        <w:contextualSpacing/>
        <w:rPr>
          <w:rFonts w:ascii="Gotham" w:eastAsiaTheme="minorHAnsi" w:hAnsi="Gotham" w:cs="Arial"/>
          <w:sz w:val="22"/>
          <w:szCs w:val="22"/>
        </w:rPr>
      </w:pPr>
      <w:r w:rsidRPr="001921FB">
        <w:rPr>
          <w:rFonts w:ascii="Gotham" w:eastAsiaTheme="minorHAnsi" w:hAnsi="Gotham" w:cs="Arial"/>
          <w:sz w:val="22"/>
          <w:szCs w:val="22"/>
        </w:rPr>
        <w:t>Attend regular supervisions and reflective practice sessions</w:t>
      </w:r>
    </w:p>
    <w:p w14:paraId="1A532BD3" w14:textId="38501435" w:rsidR="001921FB" w:rsidRPr="001921FB" w:rsidRDefault="001921FB" w:rsidP="001921FB">
      <w:pPr>
        <w:numPr>
          <w:ilvl w:val="0"/>
          <w:numId w:val="33"/>
        </w:numPr>
        <w:tabs>
          <w:tab w:val="left" w:pos="851"/>
        </w:tabs>
        <w:spacing w:before="20" w:line="276" w:lineRule="auto"/>
        <w:contextualSpacing/>
        <w:rPr>
          <w:rFonts w:ascii="Gotham" w:eastAsiaTheme="majorEastAsia" w:hAnsi="Gotham"/>
          <w:sz w:val="22"/>
          <w:szCs w:val="22"/>
        </w:rPr>
      </w:pPr>
      <w:r w:rsidRPr="001921FB">
        <w:rPr>
          <w:rFonts w:ascii="Gotham" w:eastAsiaTheme="majorEastAsia" w:hAnsi="Gotham"/>
          <w:sz w:val="22"/>
          <w:szCs w:val="22"/>
        </w:rPr>
        <w:t xml:space="preserve">Maintain client database and monitoring systems including </w:t>
      </w:r>
      <w:r w:rsidR="002C78C9">
        <w:rPr>
          <w:rFonts w:ascii="Gotham" w:eastAsiaTheme="majorEastAsia" w:hAnsi="Gotham"/>
          <w:sz w:val="22"/>
          <w:szCs w:val="22"/>
        </w:rPr>
        <w:t xml:space="preserve">Stonepillow </w:t>
      </w:r>
      <w:r w:rsidRPr="001921FB">
        <w:rPr>
          <w:rFonts w:ascii="Gotham" w:eastAsiaTheme="majorEastAsia" w:hAnsi="Gotham"/>
          <w:sz w:val="22"/>
          <w:szCs w:val="22"/>
        </w:rPr>
        <w:t xml:space="preserve">Inform database </w:t>
      </w:r>
    </w:p>
    <w:p w14:paraId="03C4F122" w14:textId="77777777" w:rsidR="001921FB" w:rsidRPr="001921FB" w:rsidRDefault="001921FB" w:rsidP="001921FB">
      <w:pPr>
        <w:numPr>
          <w:ilvl w:val="0"/>
          <w:numId w:val="33"/>
        </w:numPr>
        <w:tabs>
          <w:tab w:val="left" w:pos="851"/>
        </w:tabs>
        <w:spacing w:before="20" w:line="276" w:lineRule="auto"/>
        <w:contextualSpacing/>
        <w:rPr>
          <w:rFonts w:ascii="Gotham" w:eastAsiaTheme="majorEastAsia" w:hAnsi="Gotham"/>
          <w:sz w:val="22"/>
          <w:szCs w:val="22"/>
        </w:rPr>
      </w:pPr>
      <w:r w:rsidRPr="001921FB">
        <w:rPr>
          <w:rFonts w:ascii="Gotham" w:eastAsiaTheme="majorEastAsia" w:hAnsi="Gotham"/>
          <w:sz w:val="22"/>
          <w:szCs w:val="22"/>
        </w:rPr>
        <w:t xml:space="preserve">Complete quantitative and qualitative data when required for monitoring and evaluation purposes </w:t>
      </w:r>
    </w:p>
    <w:p w14:paraId="356350A9" w14:textId="77777777" w:rsidR="001921FB" w:rsidRPr="001921FB" w:rsidRDefault="001921FB" w:rsidP="001921FB">
      <w:pPr>
        <w:tabs>
          <w:tab w:val="left" w:pos="851"/>
        </w:tabs>
        <w:spacing w:before="20" w:line="276" w:lineRule="auto"/>
        <w:rPr>
          <w:rFonts w:ascii="Gotham" w:eastAsiaTheme="majorEastAsia" w:hAnsi="Gotham"/>
          <w:sz w:val="22"/>
          <w:szCs w:val="22"/>
        </w:rPr>
      </w:pPr>
    </w:p>
    <w:p w14:paraId="3E1A3CC9" w14:textId="77777777" w:rsidR="001921FB" w:rsidRPr="001921FB" w:rsidRDefault="001921FB" w:rsidP="001921FB">
      <w:pPr>
        <w:ind w:left="360" w:hanging="360"/>
        <w:contextualSpacing/>
        <w:rPr>
          <w:rFonts w:ascii="Gotham" w:hAnsi="Gotham"/>
          <w:sz w:val="22"/>
          <w:szCs w:val="22"/>
          <w:u w:val="single"/>
        </w:rPr>
      </w:pPr>
      <w:r w:rsidRPr="001921FB">
        <w:rPr>
          <w:rFonts w:ascii="Gotham" w:hAnsi="Gotham"/>
          <w:sz w:val="22"/>
          <w:szCs w:val="22"/>
          <w:u w:val="single"/>
        </w:rPr>
        <w:t>Compliance with Organisational policies and regulatory requirements</w:t>
      </w:r>
    </w:p>
    <w:p w14:paraId="0F9AB93F" w14:textId="77777777" w:rsidR="001921FB" w:rsidRPr="001921FB" w:rsidRDefault="001921FB" w:rsidP="001921FB">
      <w:pPr>
        <w:rPr>
          <w:rFonts w:ascii="Gotham" w:hAnsi="Gotham"/>
          <w:sz w:val="22"/>
          <w:szCs w:val="22"/>
        </w:rPr>
      </w:pPr>
    </w:p>
    <w:p w14:paraId="3DC171A4" w14:textId="77777777" w:rsidR="001921FB" w:rsidRPr="001921FB" w:rsidRDefault="001921FB" w:rsidP="001921FB">
      <w:pPr>
        <w:numPr>
          <w:ilvl w:val="0"/>
          <w:numId w:val="34"/>
        </w:numPr>
        <w:contextualSpacing/>
        <w:rPr>
          <w:rFonts w:ascii="Gotham" w:hAnsi="Gotham"/>
          <w:sz w:val="22"/>
          <w:szCs w:val="22"/>
        </w:rPr>
      </w:pPr>
      <w:r w:rsidRPr="001921FB">
        <w:rPr>
          <w:rFonts w:ascii="Gotham" w:hAnsi="Gotham"/>
          <w:sz w:val="22"/>
          <w:szCs w:val="22"/>
        </w:rPr>
        <w:t>Abide by policies and procedures and regulatory requirements at all times and in particular:</w:t>
      </w:r>
    </w:p>
    <w:p w14:paraId="41316C8E" w14:textId="77777777" w:rsidR="001921FB" w:rsidRPr="001921FB" w:rsidRDefault="001921FB" w:rsidP="001921FB">
      <w:pPr>
        <w:rPr>
          <w:rFonts w:ascii="Gotham" w:hAnsi="Gotham"/>
          <w:sz w:val="22"/>
          <w:szCs w:val="22"/>
        </w:rPr>
      </w:pPr>
    </w:p>
    <w:p w14:paraId="201E6478" w14:textId="77777777" w:rsidR="001921FB" w:rsidRPr="001921FB" w:rsidRDefault="001921FB" w:rsidP="001921FB">
      <w:pPr>
        <w:numPr>
          <w:ilvl w:val="1"/>
          <w:numId w:val="34"/>
        </w:numPr>
        <w:contextualSpacing/>
        <w:rPr>
          <w:rFonts w:ascii="Gotham" w:hAnsi="Gotham"/>
          <w:sz w:val="22"/>
          <w:szCs w:val="22"/>
        </w:rPr>
      </w:pPr>
      <w:r w:rsidRPr="001921FB">
        <w:rPr>
          <w:rFonts w:ascii="Gotham" w:hAnsi="Gotham"/>
          <w:sz w:val="22"/>
          <w:szCs w:val="22"/>
        </w:rPr>
        <w:t>Health Safety</w:t>
      </w:r>
    </w:p>
    <w:p w14:paraId="4901241D" w14:textId="77777777" w:rsidR="001921FB" w:rsidRPr="001921FB" w:rsidRDefault="001921FB" w:rsidP="001921FB">
      <w:pPr>
        <w:numPr>
          <w:ilvl w:val="1"/>
          <w:numId w:val="34"/>
        </w:numPr>
        <w:contextualSpacing/>
        <w:rPr>
          <w:rFonts w:ascii="Gotham" w:hAnsi="Gotham"/>
          <w:sz w:val="22"/>
          <w:szCs w:val="22"/>
        </w:rPr>
      </w:pPr>
      <w:r w:rsidRPr="001921FB">
        <w:rPr>
          <w:rFonts w:ascii="Gotham" w:hAnsi="Gotham"/>
          <w:sz w:val="22"/>
          <w:szCs w:val="22"/>
        </w:rPr>
        <w:t>Adult and Child Safeguarding, Professional Boundaries</w:t>
      </w:r>
    </w:p>
    <w:p w14:paraId="4BD3422E" w14:textId="77777777" w:rsidR="001921FB" w:rsidRPr="001921FB" w:rsidRDefault="001921FB" w:rsidP="001921FB">
      <w:pPr>
        <w:numPr>
          <w:ilvl w:val="1"/>
          <w:numId w:val="34"/>
        </w:numPr>
        <w:contextualSpacing/>
        <w:rPr>
          <w:rFonts w:ascii="Gotham" w:hAnsi="Gotham"/>
          <w:sz w:val="22"/>
          <w:szCs w:val="22"/>
        </w:rPr>
      </w:pPr>
      <w:r w:rsidRPr="001921FB">
        <w:rPr>
          <w:rFonts w:ascii="Gotham" w:hAnsi="Gotham"/>
          <w:sz w:val="22"/>
          <w:szCs w:val="22"/>
        </w:rPr>
        <w:t>Confidentiality and Data Protection Act</w:t>
      </w:r>
    </w:p>
    <w:p w14:paraId="029EA9CB" w14:textId="77777777" w:rsidR="001921FB" w:rsidRPr="001921FB" w:rsidRDefault="001921FB" w:rsidP="001921FB">
      <w:pPr>
        <w:rPr>
          <w:rFonts w:ascii="Gotham" w:hAnsi="Gotham"/>
          <w:sz w:val="22"/>
          <w:szCs w:val="22"/>
        </w:rPr>
      </w:pPr>
    </w:p>
    <w:p w14:paraId="1BE48460" w14:textId="77777777" w:rsidR="001921FB" w:rsidRPr="001921FB" w:rsidRDefault="001921FB" w:rsidP="001921FB">
      <w:pPr>
        <w:numPr>
          <w:ilvl w:val="0"/>
          <w:numId w:val="34"/>
        </w:numPr>
        <w:contextualSpacing/>
        <w:rPr>
          <w:rFonts w:ascii="Gotham" w:hAnsi="Gotham"/>
          <w:sz w:val="22"/>
          <w:szCs w:val="22"/>
        </w:rPr>
      </w:pPr>
      <w:r w:rsidRPr="001921FB">
        <w:rPr>
          <w:rFonts w:ascii="Gotham" w:hAnsi="Gotham"/>
          <w:sz w:val="22"/>
          <w:szCs w:val="22"/>
        </w:rPr>
        <w:t>Ensure all service policies and procedures are regularly reviewed and well embedded.</w:t>
      </w:r>
    </w:p>
    <w:p w14:paraId="28B71020" w14:textId="77777777" w:rsidR="001921FB" w:rsidRPr="001921FB" w:rsidRDefault="001921FB" w:rsidP="001921FB">
      <w:pPr>
        <w:numPr>
          <w:ilvl w:val="0"/>
          <w:numId w:val="34"/>
        </w:numPr>
        <w:contextualSpacing/>
        <w:rPr>
          <w:rFonts w:ascii="Gotham" w:hAnsi="Gotham"/>
          <w:sz w:val="22"/>
          <w:szCs w:val="22"/>
        </w:rPr>
      </w:pPr>
      <w:r w:rsidRPr="001921FB">
        <w:rPr>
          <w:rFonts w:ascii="Gotham" w:hAnsi="Gotham"/>
          <w:sz w:val="22"/>
          <w:szCs w:val="22"/>
        </w:rPr>
        <w:t>Play an active part in the development and implementation of organisational wide policies and procedures.</w:t>
      </w:r>
    </w:p>
    <w:p w14:paraId="11F25D6A" w14:textId="77777777" w:rsidR="001921FB" w:rsidRPr="001921FB" w:rsidRDefault="001921FB" w:rsidP="001921FB">
      <w:pPr>
        <w:numPr>
          <w:ilvl w:val="0"/>
          <w:numId w:val="34"/>
        </w:numPr>
        <w:contextualSpacing/>
        <w:rPr>
          <w:rFonts w:ascii="Gotham" w:hAnsi="Gotham"/>
          <w:sz w:val="22"/>
          <w:szCs w:val="22"/>
        </w:rPr>
      </w:pPr>
      <w:r w:rsidRPr="001921FB">
        <w:rPr>
          <w:rFonts w:ascii="Gotham" w:hAnsi="Gotham"/>
          <w:sz w:val="22"/>
          <w:szCs w:val="22"/>
        </w:rPr>
        <w:t>Work within the current information sharing protocols, utilising already established risk assessment processes and implement enhancements to information sharing that capture whole service user journeys.</w:t>
      </w:r>
    </w:p>
    <w:p w14:paraId="19F6716B" w14:textId="77777777" w:rsidR="001921FB" w:rsidRPr="001921FB" w:rsidRDefault="001921FB" w:rsidP="001921FB">
      <w:pPr>
        <w:numPr>
          <w:ilvl w:val="0"/>
          <w:numId w:val="34"/>
        </w:numPr>
        <w:contextualSpacing/>
        <w:rPr>
          <w:rFonts w:ascii="Gotham" w:hAnsi="Gotham"/>
          <w:sz w:val="22"/>
          <w:szCs w:val="22"/>
        </w:rPr>
      </w:pPr>
      <w:r w:rsidRPr="001921FB">
        <w:rPr>
          <w:rFonts w:ascii="Gotham" w:hAnsi="Gotham"/>
          <w:sz w:val="22"/>
          <w:szCs w:val="22"/>
        </w:rPr>
        <w:t xml:space="preserve">Work closely with all agencies to obtain service user consent, to allow better information sharing and support management. </w:t>
      </w:r>
    </w:p>
    <w:p w14:paraId="1E69DB68" w14:textId="77777777" w:rsidR="001921FB" w:rsidRPr="001921FB" w:rsidRDefault="001921FB" w:rsidP="001921FB">
      <w:pPr>
        <w:ind w:left="360" w:hanging="360"/>
        <w:contextualSpacing/>
        <w:rPr>
          <w:rFonts w:ascii="Gotham" w:hAnsi="Gotham"/>
          <w:sz w:val="22"/>
          <w:szCs w:val="22"/>
          <w:u w:val="single"/>
        </w:rPr>
      </w:pPr>
    </w:p>
    <w:p w14:paraId="5E12EDD6" w14:textId="77777777" w:rsidR="001921FB" w:rsidRPr="001921FB" w:rsidRDefault="001921FB" w:rsidP="001921FB">
      <w:pPr>
        <w:ind w:left="360" w:hanging="360"/>
        <w:contextualSpacing/>
        <w:rPr>
          <w:rFonts w:ascii="Gotham" w:hAnsi="Gotham"/>
          <w:sz w:val="22"/>
          <w:szCs w:val="22"/>
          <w:u w:val="single"/>
        </w:rPr>
      </w:pPr>
      <w:r w:rsidRPr="001921FB">
        <w:rPr>
          <w:rFonts w:ascii="Gotham" w:hAnsi="Gotham"/>
          <w:sz w:val="22"/>
          <w:szCs w:val="22"/>
          <w:u w:val="single"/>
        </w:rPr>
        <w:t>Equality and Diversity</w:t>
      </w:r>
    </w:p>
    <w:p w14:paraId="173B0868" w14:textId="77777777" w:rsidR="001921FB" w:rsidRPr="001921FB" w:rsidRDefault="001921FB" w:rsidP="001921FB">
      <w:pPr>
        <w:rPr>
          <w:rFonts w:ascii="Gotham" w:hAnsi="Gotham"/>
          <w:sz w:val="22"/>
          <w:szCs w:val="22"/>
        </w:rPr>
      </w:pPr>
    </w:p>
    <w:p w14:paraId="4EBE3334" w14:textId="73240221" w:rsidR="001921FB" w:rsidRPr="001921FB" w:rsidRDefault="001921FB" w:rsidP="001921FB">
      <w:pPr>
        <w:numPr>
          <w:ilvl w:val="0"/>
          <w:numId w:val="14"/>
        </w:numPr>
        <w:contextualSpacing/>
        <w:rPr>
          <w:rFonts w:ascii="Gotham" w:hAnsi="Gotham"/>
          <w:sz w:val="22"/>
          <w:szCs w:val="22"/>
        </w:rPr>
      </w:pPr>
      <w:r w:rsidRPr="001921FB">
        <w:rPr>
          <w:rFonts w:ascii="Gotham" w:hAnsi="Gotham"/>
          <w:sz w:val="22"/>
          <w:szCs w:val="22"/>
        </w:rPr>
        <w:t>Promote and embed a proactive approach to equality and diversity – by example and  approach.</w:t>
      </w:r>
    </w:p>
    <w:p w14:paraId="71BF3F49" w14:textId="77777777" w:rsidR="001921FB" w:rsidRPr="001921FB" w:rsidRDefault="001921FB" w:rsidP="001921FB">
      <w:pPr>
        <w:numPr>
          <w:ilvl w:val="0"/>
          <w:numId w:val="14"/>
        </w:numPr>
        <w:contextualSpacing/>
        <w:rPr>
          <w:rFonts w:ascii="Gotham" w:hAnsi="Gotham"/>
          <w:sz w:val="22"/>
          <w:szCs w:val="22"/>
        </w:rPr>
      </w:pPr>
      <w:r w:rsidRPr="001921FB">
        <w:rPr>
          <w:rFonts w:ascii="Gotham" w:hAnsi="Gotham"/>
          <w:sz w:val="22"/>
          <w:szCs w:val="22"/>
        </w:rPr>
        <w:t>Undertake equalities impact assessments and reviews.</w:t>
      </w:r>
    </w:p>
    <w:p w14:paraId="50EBB4DA" w14:textId="77777777" w:rsidR="001921FB" w:rsidRPr="001921FB" w:rsidRDefault="001921FB" w:rsidP="001921FB">
      <w:pPr>
        <w:ind w:left="720"/>
        <w:contextualSpacing/>
        <w:rPr>
          <w:rFonts w:ascii="Gotham" w:hAnsi="Gotham"/>
          <w:sz w:val="22"/>
          <w:szCs w:val="22"/>
        </w:rPr>
      </w:pPr>
    </w:p>
    <w:p w14:paraId="7D85E73C" w14:textId="77777777" w:rsidR="001921FB" w:rsidRPr="001921FB" w:rsidRDefault="001921FB" w:rsidP="001921FB">
      <w:pPr>
        <w:contextualSpacing/>
        <w:rPr>
          <w:rFonts w:ascii="Gotham" w:hAnsi="Gotham"/>
          <w:sz w:val="22"/>
          <w:szCs w:val="22"/>
          <w:u w:val="single"/>
        </w:rPr>
      </w:pPr>
      <w:r w:rsidRPr="001921FB">
        <w:rPr>
          <w:rFonts w:ascii="Gotham" w:hAnsi="Gotham"/>
          <w:sz w:val="22"/>
          <w:szCs w:val="22"/>
          <w:u w:val="single"/>
        </w:rPr>
        <w:t>General</w:t>
      </w:r>
    </w:p>
    <w:p w14:paraId="1504D30C" w14:textId="77777777" w:rsidR="001921FB" w:rsidRPr="001921FB" w:rsidRDefault="001921FB" w:rsidP="001921FB">
      <w:pPr>
        <w:ind w:left="360"/>
        <w:contextualSpacing/>
        <w:rPr>
          <w:rFonts w:ascii="Gotham" w:hAnsi="Gotham"/>
          <w:sz w:val="22"/>
          <w:szCs w:val="22"/>
          <w:u w:val="single"/>
        </w:rPr>
      </w:pPr>
    </w:p>
    <w:p w14:paraId="75213CB6" w14:textId="77777777" w:rsidR="001921FB" w:rsidRPr="001921FB" w:rsidRDefault="001921FB" w:rsidP="001921FB">
      <w:pPr>
        <w:numPr>
          <w:ilvl w:val="0"/>
          <w:numId w:val="15"/>
        </w:numPr>
        <w:contextualSpacing/>
        <w:rPr>
          <w:rFonts w:ascii="Gotham" w:hAnsi="Gotham"/>
          <w:sz w:val="22"/>
          <w:szCs w:val="22"/>
        </w:rPr>
      </w:pPr>
      <w:r w:rsidRPr="001921FB">
        <w:rPr>
          <w:rFonts w:ascii="Gotham" w:hAnsi="Gotham"/>
          <w:sz w:val="22"/>
          <w:szCs w:val="22"/>
        </w:rPr>
        <w:t xml:space="preserve">Maintain personal development including participation in supervision and training. </w:t>
      </w:r>
    </w:p>
    <w:p w14:paraId="17230BA7" w14:textId="77777777" w:rsidR="001921FB" w:rsidRPr="001921FB" w:rsidRDefault="001921FB" w:rsidP="001921FB">
      <w:pPr>
        <w:numPr>
          <w:ilvl w:val="0"/>
          <w:numId w:val="15"/>
        </w:numPr>
        <w:contextualSpacing/>
        <w:rPr>
          <w:rFonts w:ascii="Gotham" w:hAnsi="Gotham"/>
          <w:sz w:val="22"/>
          <w:szCs w:val="22"/>
        </w:rPr>
      </w:pPr>
      <w:r w:rsidRPr="001921FB">
        <w:rPr>
          <w:rFonts w:ascii="Gotham" w:hAnsi="Gotham"/>
          <w:sz w:val="22"/>
          <w:szCs w:val="22"/>
        </w:rPr>
        <w:t>Undertake any other duties as may be required from time to time commensurate with your status and capabilities.</w:t>
      </w:r>
    </w:p>
    <w:p w14:paraId="3682D11F" w14:textId="477293C4" w:rsidR="001921FB" w:rsidRPr="001921FB" w:rsidRDefault="001921FB" w:rsidP="001921FB">
      <w:pPr>
        <w:widowControl w:val="0"/>
        <w:numPr>
          <w:ilvl w:val="0"/>
          <w:numId w:val="15"/>
        </w:numPr>
        <w:autoSpaceDE w:val="0"/>
        <w:autoSpaceDN w:val="0"/>
        <w:adjustRightInd w:val="0"/>
        <w:spacing w:line="280" w:lineRule="exact"/>
        <w:rPr>
          <w:rFonts w:ascii="Gotham" w:hAnsi="Gotham" w:cs="Arial"/>
          <w:bCs/>
          <w:color w:val="000000"/>
          <w:sz w:val="22"/>
          <w:szCs w:val="22"/>
        </w:rPr>
      </w:pPr>
      <w:r w:rsidRPr="001921FB">
        <w:rPr>
          <w:rFonts w:ascii="Gotham" w:hAnsi="Gotham" w:cs="Arial"/>
          <w:bCs/>
          <w:color w:val="000000"/>
          <w:sz w:val="22"/>
          <w:szCs w:val="22"/>
        </w:rPr>
        <w:t>Maintain at all times the values of HARP and</w:t>
      </w:r>
      <w:r w:rsidR="007B6015">
        <w:rPr>
          <w:rFonts w:ascii="Gotham" w:hAnsi="Gotham" w:cs="Arial"/>
          <w:bCs/>
          <w:color w:val="000000"/>
          <w:sz w:val="22"/>
          <w:szCs w:val="22"/>
        </w:rPr>
        <w:t xml:space="preserve"> Stonepillow.</w:t>
      </w:r>
      <w:r w:rsidRPr="001921FB">
        <w:rPr>
          <w:rFonts w:ascii="Gotham" w:hAnsi="Gotham" w:cs="Arial"/>
          <w:bCs/>
          <w:color w:val="000000"/>
          <w:sz w:val="22"/>
          <w:szCs w:val="22"/>
        </w:rPr>
        <w:t>.</w:t>
      </w:r>
    </w:p>
    <w:p w14:paraId="539D68BA" w14:textId="77777777" w:rsidR="00BC3C69" w:rsidRPr="001921FB" w:rsidRDefault="00BC3C69" w:rsidP="00BC3C69">
      <w:pPr>
        <w:pStyle w:val="ListParagraph"/>
        <w:rPr>
          <w:rFonts w:ascii="Gotham" w:hAnsi="Gotham"/>
          <w:color w:val="FF0000"/>
          <w:sz w:val="22"/>
          <w:szCs w:val="22"/>
        </w:rPr>
      </w:pPr>
    </w:p>
    <w:p w14:paraId="58C798F0" w14:textId="77777777" w:rsidR="00C30387" w:rsidRPr="001E3286" w:rsidRDefault="00C30387" w:rsidP="00C30387">
      <w:pPr>
        <w:rPr>
          <w:rFonts w:ascii="Gotham" w:hAnsi="Gotham"/>
          <w:sz w:val="22"/>
          <w:szCs w:val="22"/>
        </w:rPr>
      </w:pPr>
    </w:p>
    <w:p w14:paraId="7C430234" w14:textId="77777777" w:rsidR="00335C6E" w:rsidRPr="001E3286" w:rsidRDefault="00335C6E">
      <w:pPr>
        <w:spacing w:after="200" w:line="276" w:lineRule="auto"/>
        <w:rPr>
          <w:rFonts w:ascii="Gotham" w:hAnsi="Gotham"/>
          <w:sz w:val="22"/>
          <w:szCs w:val="22"/>
        </w:rPr>
      </w:pPr>
      <w:r w:rsidRPr="001E3286">
        <w:rPr>
          <w:rFonts w:ascii="Gotham" w:hAnsi="Gotham"/>
          <w:sz w:val="22"/>
          <w:szCs w:val="22"/>
        </w:rPr>
        <w:br w:type="page"/>
      </w:r>
    </w:p>
    <w:p w14:paraId="31B88EFC" w14:textId="77777777" w:rsidR="000B523C" w:rsidRDefault="000B523C" w:rsidP="00E962D4">
      <w:pPr>
        <w:rPr>
          <w:rFonts w:ascii="Gotham" w:hAnsi="Gotham"/>
          <w:sz w:val="36"/>
          <w:szCs w:val="36"/>
        </w:rPr>
      </w:pPr>
    </w:p>
    <w:p w14:paraId="10522A66" w14:textId="77777777" w:rsidR="000B523C" w:rsidRDefault="000B523C" w:rsidP="00E962D4">
      <w:pPr>
        <w:rPr>
          <w:rFonts w:ascii="Gotham" w:hAnsi="Gotham"/>
          <w:sz w:val="36"/>
          <w:szCs w:val="36"/>
        </w:rPr>
      </w:pPr>
      <w:r>
        <w:rPr>
          <w:rFonts w:cs="Arial"/>
          <w:b/>
          <w:noProof/>
          <w:sz w:val="22"/>
          <w:szCs w:val="22"/>
          <w:lang w:eastAsia="en-GB"/>
        </w:rPr>
        <w:drawing>
          <wp:anchor distT="0" distB="0" distL="114300" distR="114300" simplePos="0" relativeHeight="251659264" behindDoc="1" locked="0" layoutInCell="1" allowOverlap="1" wp14:anchorId="0249A70E" wp14:editId="5E9A7FBA">
            <wp:simplePos x="0" y="0"/>
            <wp:positionH relativeFrom="margin">
              <wp:posOffset>-4445</wp:posOffset>
            </wp:positionH>
            <wp:positionV relativeFrom="margin">
              <wp:posOffset>521335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13E28" w14:textId="77777777" w:rsidR="000B523C" w:rsidRDefault="000B523C" w:rsidP="00E962D4">
      <w:pPr>
        <w:rPr>
          <w:rFonts w:ascii="Gotham" w:hAnsi="Gotham"/>
          <w:sz w:val="36"/>
          <w:szCs w:val="36"/>
        </w:rPr>
      </w:pPr>
    </w:p>
    <w:p w14:paraId="6B2A59B9" w14:textId="77777777" w:rsidR="000B523C" w:rsidRDefault="000B523C" w:rsidP="00E962D4">
      <w:pPr>
        <w:rPr>
          <w:rFonts w:ascii="Gotham" w:hAnsi="Gotham"/>
          <w:sz w:val="36"/>
          <w:szCs w:val="36"/>
        </w:rPr>
      </w:pPr>
    </w:p>
    <w:p w14:paraId="52C0FC33" w14:textId="77777777" w:rsidR="000B523C" w:rsidRDefault="000B523C" w:rsidP="00E962D4">
      <w:pPr>
        <w:rPr>
          <w:rFonts w:ascii="Gotham" w:hAnsi="Gotham"/>
          <w:sz w:val="36"/>
          <w:szCs w:val="36"/>
        </w:rPr>
      </w:pPr>
    </w:p>
    <w:p w14:paraId="5098233E" w14:textId="77777777" w:rsidR="000B523C" w:rsidRDefault="000B523C" w:rsidP="00E962D4">
      <w:pPr>
        <w:rPr>
          <w:rFonts w:ascii="Gotham" w:hAnsi="Gotham"/>
          <w:sz w:val="36"/>
          <w:szCs w:val="36"/>
        </w:rPr>
      </w:pPr>
    </w:p>
    <w:p w14:paraId="778CDEE2" w14:textId="77777777" w:rsidR="00B86975" w:rsidRPr="00B86975" w:rsidRDefault="00B86975" w:rsidP="00E962D4">
      <w:pPr>
        <w:rPr>
          <w:rFonts w:ascii="Gotham" w:hAnsi="Gotham"/>
          <w:sz w:val="36"/>
          <w:szCs w:val="36"/>
        </w:rPr>
      </w:pPr>
      <w:r w:rsidRPr="00B86975">
        <w:rPr>
          <w:rFonts w:ascii="Gotham" w:hAnsi="Gotham"/>
          <w:sz w:val="36"/>
          <w:szCs w:val="36"/>
        </w:rPr>
        <w:t>Person Specification</w:t>
      </w:r>
    </w:p>
    <w:p w14:paraId="724F6A60" w14:textId="77777777" w:rsidR="00B86975" w:rsidRPr="001921FB" w:rsidRDefault="001921FB" w:rsidP="00E962D4">
      <w:pPr>
        <w:rPr>
          <w:rFonts w:ascii="Gotham" w:hAnsi="Gotham"/>
          <w:sz w:val="36"/>
          <w:szCs w:val="36"/>
        </w:rPr>
      </w:pPr>
      <w:r w:rsidRPr="001921FB">
        <w:rPr>
          <w:rFonts w:ascii="Gotham" w:hAnsi="Gotham"/>
          <w:sz w:val="36"/>
          <w:szCs w:val="36"/>
        </w:rPr>
        <w:t xml:space="preserve">HARP Navigator </w:t>
      </w:r>
    </w:p>
    <w:p w14:paraId="6BB0E2D4" w14:textId="77777777" w:rsidR="00B86975" w:rsidRPr="001921FB" w:rsidRDefault="00B86975" w:rsidP="00E962D4">
      <w:pPr>
        <w:rPr>
          <w:rFonts w:ascii="Gotham" w:hAnsi="Gotham"/>
        </w:rPr>
      </w:pPr>
    </w:p>
    <w:p w14:paraId="7BFAC5E4" w14:textId="77777777" w:rsidR="00E962D4" w:rsidRPr="001E3286" w:rsidRDefault="00E962D4" w:rsidP="00E962D4">
      <w:pPr>
        <w:rPr>
          <w:rFonts w:ascii="Gotham" w:hAnsi="Gotham"/>
          <w:sz w:val="22"/>
          <w:szCs w:val="22"/>
        </w:rPr>
      </w:pPr>
      <w:r w:rsidRPr="001E3286">
        <w:rPr>
          <w:rFonts w:ascii="Gotham" w:hAnsi="Gotham"/>
          <w:sz w:val="22"/>
          <w:szCs w:val="22"/>
        </w:rPr>
        <w:t xml:space="preserve">This person specification lists the skills, knowledge and experience required.  You should provide evidence, in the form of an example, that you meet each </w:t>
      </w:r>
      <w:r w:rsidR="006970B1" w:rsidRPr="006970B1">
        <w:rPr>
          <w:rFonts w:ascii="Gotham" w:hAnsi="Gotham"/>
          <w:sz w:val="22"/>
          <w:szCs w:val="22"/>
          <w:u w:val="single"/>
        </w:rPr>
        <w:t>criteria</w:t>
      </w:r>
      <w:r w:rsidRPr="001E3286">
        <w:rPr>
          <w:rFonts w:ascii="Gotham" w:hAnsi="Gotham"/>
          <w:sz w:val="22"/>
          <w:szCs w:val="22"/>
        </w:rPr>
        <w:t xml:space="preserve"> </w:t>
      </w:r>
      <w:r w:rsidR="006970B1">
        <w:rPr>
          <w:rFonts w:ascii="Gotham" w:hAnsi="Gotham"/>
          <w:sz w:val="22"/>
          <w:szCs w:val="22"/>
        </w:rPr>
        <w:t>on</w:t>
      </w:r>
      <w:r w:rsidRPr="001E3286">
        <w:rPr>
          <w:rFonts w:ascii="Gotham" w:hAnsi="Gotham"/>
          <w:sz w:val="22"/>
          <w:szCs w:val="22"/>
        </w:rPr>
        <w:t xml:space="preserve"> your application form.</w:t>
      </w:r>
    </w:p>
    <w:p w14:paraId="5E86A4CD" w14:textId="77777777" w:rsidR="00E962D4" w:rsidRPr="001E3286" w:rsidRDefault="00E962D4" w:rsidP="00E962D4">
      <w:pPr>
        <w:rPr>
          <w:rFonts w:ascii="Gotham" w:hAnsi="Gotham"/>
          <w:sz w:val="22"/>
          <w:szCs w:val="22"/>
        </w:rPr>
      </w:pPr>
    </w:p>
    <w:p w14:paraId="6E6D38BE" w14:textId="77777777" w:rsidR="00E962D4" w:rsidRPr="001E3286" w:rsidRDefault="00E962D4" w:rsidP="00E962D4">
      <w:pPr>
        <w:rPr>
          <w:rFonts w:ascii="Gotham" w:hAnsi="Gotham"/>
          <w:sz w:val="22"/>
          <w:szCs w:val="22"/>
        </w:rPr>
      </w:pPr>
      <w:r w:rsidRPr="001E3286">
        <w:rPr>
          <w:rFonts w:ascii="Gotham" w:hAnsi="Gotham"/>
          <w:sz w:val="22"/>
          <w:szCs w:val="22"/>
        </w:rPr>
        <w:t xml:space="preserve">E = Essential criteria </w:t>
      </w:r>
      <w:r w:rsidRPr="001E3286">
        <w:rPr>
          <w:rFonts w:ascii="Gotham" w:hAnsi="Gotham"/>
          <w:sz w:val="22"/>
          <w:szCs w:val="22"/>
        </w:rPr>
        <w:tab/>
        <w:t>D = Desirable criteria</w:t>
      </w:r>
    </w:p>
    <w:p w14:paraId="6F26BCEB" w14:textId="77777777" w:rsidR="00E962D4" w:rsidRPr="001E3286" w:rsidRDefault="00E962D4" w:rsidP="00E962D4">
      <w:pPr>
        <w:rPr>
          <w:rFonts w:ascii="Gotham" w:hAnsi="Gotham"/>
          <w:sz w:val="22"/>
          <w:szCs w:val="22"/>
        </w:rPr>
      </w:pPr>
      <w:r w:rsidRPr="001E3286">
        <w:rPr>
          <w:rFonts w:ascii="Gotham" w:hAnsi="Gotham"/>
          <w:sz w:val="22"/>
          <w:szCs w:val="22"/>
        </w:rPr>
        <w:tab/>
      </w:r>
    </w:p>
    <w:p w14:paraId="3C2A72CA" w14:textId="77777777" w:rsidR="00E962D4" w:rsidRPr="001E3286" w:rsidRDefault="00E962D4" w:rsidP="00E962D4">
      <w:pPr>
        <w:rPr>
          <w:rFonts w:ascii="Gotham" w:hAnsi="Gotham"/>
          <w:sz w:val="22"/>
          <w:szCs w:val="22"/>
        </w:rPr>
      </w:pPr>
    </w:p>
    <w:p w14:paraId="43828D1E" w14:textId="77777777" w:rsidR="00E962D4" w:rsidRPr="001E3286" w:rsidRDefault="00E962D4" w:rsidP="00E962D4">
      <w:pPr>
        <w:rPr>
          <w:rFonts w:ascii="Gotham" w:hAnsi="Gotham"/>
          <w:sz w:val="22"/>
          <w:szCs w:val="22"/>
        </w:rPr>
      </w:pPr>
    </w:p>
    <w:tbl>
      <w:tblPr>
        <w:tblStyle w:val="TableGrid"/>
        <w:tblW w:w="0" w:type="auto"/>
        <w:tblLook w:val="04A0" w:firstRow="1" w:lastRow="0" w:firstColumn="1" w:lastColumn="0" w:noHBand="0" w:noVBand="1"/>
      </w:tblPr>
      <w:tblGrid>
        <w:gridCol w:w="7650"/>
        <w:gridCol w:w="1119"/>
        <w:gridCol w:w="1274"/>
      </w:tblGrid>
      <w:tr w:rsidR="001921FB" w:rsidRPr="001921FB" w14:paraId="2FF0EA35" w14:textId="77777777" w:rsidTr="00784B1A">
        <w:trPr>
          <w:trHeight w:val="237"/>
        </w:trPr>
        <w:tc>
          <w:tcPr>
            <w:tcW w:w="7650" w:type="dxa"/>
            <w:tcBorders>
              <w:top w:val="single" w:sz="4" w:space="0" w:color="auto"/>
              <w:left w:val="single" w:sz="4" w:space="0" w:color="auto"/>
              <w:bottom w:val="single" w:sz="4" w:space="0" w:color="auto"/>
              <w:right w:val="single" w:sz="4" w:space="0" w:color="auto"/>
            </w:tcBorders>
            <w:hideMark/>
          </w:tcPr>
          <w:p w14:paraId="026C9AA8"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Criteria</w:t>
            </w:r>
          </w:p>
        </w:tc>
        <w:tc>
          <w:tcPr>
            <w:tcW w:w="1119" w:type="dxa"/>
            <w:tcBorders>
              <w:top w:val="single" w:sz="4" w:space="0" w:color="auto"/>
              <w:left w:val="single" w:sz="4" w:space="0" w:color="auto"/>
              <w:bottom w:val="single" w:sz="4" w:space="0" w:color="auto"/>
              <w:right w:val="single" w:sz="4" w:space="0" w:color="auto"/>
            </w:tcBorders>
          </w:tcPr>
          <w:p w14:paraId="1B75E1F2" w14:textId="77777777" w:rsidR="001921FB" w:rsidRDefault="006970B1" w:rsidP="00784B1A">
            <w:pPr>
              <w:rPr>
                <w:rFonts w:ascii="Gotham" w:hAnsi="Gotham" w:cs="Arial"/>
                <w:b/>
                <w:sz w:val="22"/>
                <w:szCs w:val="22"/>
              </w:rPr>
            </w:pPr>
            <w:r>
              <w:rPr>
                <w:rFonts w:ascii="Gotham" w:hAnsi="Gotham" w:cs="Arial"/>
                <w:b/>
                <w:sz w:val="22"/>
                <w:szCs w:val="22"/>
              </w:rPr>
              <w:t xml:space="preserve">E </w:t>
            </w:r>
          </w:p>
          <w:p w14:paraId="1469BC43" w14:textId="77777777" w:rsidR="006970B1" w:rsidRPr="001921FB" w:rsidRDefault="006970B1" w:rsidP="00784B1A">
            <w:pPr>
              <w:rPr>
                <w:rFonts w:ascii="Gotham" w:hAnsi="Gotham" w:cs="Arial"/>
                <w:b/>
                <w:sz w:val="22"/>
                <w:szCs w:val="22"/>
              </w:rPr>
            </w:pPr>
          </w:p>
        </w:tc>
        <w:tc>
          <w:tcPr>
            <w:tcW w:w="1274" w:type="dxa"/>
            <w:tcBorders>
              <w:top w:val="single" w:sz="4" w:space="0" w:color="auto"/>
              <w:left w:val="single" w:sz="4" w:space="0" w:color="auto"/>
              <w:bottom w:val="single" w:sz="4" w:space="0" w:color="auto"/>
              <w:right w:val="single" w:sz="4" w:space="0" w:color="auto"/>
            </w:tcBorders>
          </w:tcPr>
          <w:p w14:paraId="37681B6D" w14:textId="77777777" w:rsidR="001921FB" w:rsidRPr="001921FB" w:rsidRDefault="006970B1" w:rsidP="00784B1A">
            <w:pPr>
              <w:rPr>
                <w:rFonts w:ascii="Gotham" w:hAnsi="Gotham" w:cs="Arial"/>
                <w:b/>
                <w:sz w:val="22"/>
                <w:szCs w:val="22"/>
              </w:rPr>
            </w:pPr>
            <w:r>
              <w:rPr>
                <w:rFonts w:ascii="Gotham" w:hAnsi="Gotham" w:cs="Arial"/>
                <w:b/>
                <w:sz w:val="22"/>
                <w:szCs w:val="22"/>
              </w:rPr>
              <w:t>D</w:t>
            </w:r>
          </w:p>
        </w:tc>
      </w:tr>
      <w:tr w:rsidR="001921FB" w:rsidRPr="001921FB" w14:paraId="1D315456"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4855C347"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Knowledge</w:t>
            </w:r>
          </w:p>
        </w:tc>
      </w:tr>
      <w:tr w:rsidR="001921FB" w:rsidRPr="001921FB" w14:paraId="4964377B" w14:textId="77777777" w:rsidTr="006970B1">
        <w:trPr>
          <w:trHeight w:val="254"/>
        </w:trPr>
        <w:tc>
          <w:tcPr>
            <w:tcW w:w="7650" w:type="dxa"/>
            <w:hideMark/>
          </w:tcPr>
          <w:p w14:paraId="087D1D0B" w14:textId="77777777" w:rsidR="001921FB" w:rsidRPr="001921FB" w:rsidRDefault="001921FB" w:rsidP="001921FB">
            <w:pPr>
              <w:pStyle w:val="ListParagraph"/>
              <w:numPr>
                <w:ilvl w:val="0"/>
                <w:numId w:val="36"/>
              </w:numPr>
              <w:ind w:left="851" w:hanging="567"/>
              <w:jc w:val="left"/>
              <w:rPr>
                <w:rFonts w:ascii="Gotham" w:hAnsi="Gotham" w:cs="Arial"/>
                <w:sz w:val="22"/>
                <w:szCs w:val="22"/>
              </w:rPr>
            </w:pPr>
            <w:r w:rsidRPr="001921FB">
              <w:rPr>
                <w:rFonts w:ascii="Gotham" w:hAnsi="Gotham" w:cs="Arial"/>
                <w:sz w:val="22"/>
                <w:szCs w:val="22"/>
              </w:rPr>
              <w:t>Good knowledge of welfare benefits, housing and homelessness law and policy.</w:t>
            </w:r>
          </w:p>
        </w:tc>
        <w:tc>
          <w:tcPr>
            <w:tcW w:w="1119" w:type="dxa"/>
            <w:hideMark/>
          </w:tcPr>
          <w:p w14:paraId="42CFF282"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E9731F4" w14:textId="77777777" w:rsidR="001921FB" w:rsidRPr="001921FB" w:rsidRDefault="001921FB" w:rsidP="00784B1A">
            <w:pPr>
              <w:ind w:left="284"/>
              <w:jc w:val="left"/>
              <w:rPr>
                <w:rFonts w:ascii="Gotham" w:hAnsi="Gotham" w:cs="Arial"/>
                <w:sz w:val="22"/>
                <w:szCs w:val="22"/>
              </w:rPr>
            </w:pPr>
          </w:p>
        </w:tc>
      </w:tr>
      <w:tr w:rsidR="001921FB" w:rsidRPr="001921FB" w14:paraId="1258171E" w14:textId="77777777" w:rsidTr="006970B1">
        <w:trPr>
          <w:trHeight w:val="491"/>
        </w:trPr>
        <w:tc>
          <w:tcPr>
            <w:tcW w:w="7650" w:type="dxa"/>
            <w:hideMark/>
          </w:tcPr>
          <w:p w14:paraId="24B13B5C" w14:textId="77777777" w:rsidR="001921FB" w:rsidRPr="001921FB" w:rsidRDefault="001921FB" w:rsidP="001921FB">
            <w:pPr>
              <w:pStyle w:val="ListParagraph"/>
              <w:numPr>
                <w:ilvl w:val="0"/>
                <w:numId w:val="36"/>
              </w:numPr>
              <w:ind w:left="851" w:hanging="567"/>
              <w:jc w:val="left"/>
              <w:rPr>
                <w:rFonts w:ascii="Gotham" w:hAnsi="Gotham" w:cs="Arial"/>
                <w:sz w:val="22"/>
                <w:szCs w:val="22"/>
              </w:rPr>
            </w:pPr>
            <w:r w:rsidRPr="001921FB">
              <w:rPr>
                <w:rFonts w:ascii="Gotham" w:hAnsi="Gotham" w:cs="Arial"/>
                <w:color w:val="000000"/>
                <w:sz w:val="22"/>
                <w:szCs w:val="22"/>
                <w:shd w:val="clear" w:color="auto" w:fill="FFFFFF"/>
              </w:rPr>
              <w:t>Good  knowledge of alcohol, drugs and issues around addiction and relapse management</w:t>
            </w:r>
          </w:p>
        </w:tc>
        <w:tc>
          <w:tcPr>
            <w:tcW w:w="1119" w:type="dxa"/>
            <w:hideMark/>
          </w:tcPr>
          <w:p w14:paraId="3E3EEB73"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0EDB6901" w14:textId="77777777" w:rsidR="001921FB" w:rsidRPr="001921FB" w:rsidRDefault="001921FB" w:rsidP="00784B1A">
            <w:pPr>
              <w:ind w:left="284"/>
              <w:jc w:val="left"/>
              <w:rPr>
                <w:rFonts w:ascii="Gotham" w:hAnsi="Gotham" w:cs="Arial"/>
                <w:sz w:val="22"/>
                <w:szCs w:val="22"/>
              </w:rPr>
            </w:pPr>
          </w:p>
        </w:tc>
      </w:tr>
      <w:tr w:rsidR="001921FB" w:rsidRPr="001921FB" w14:paraId="53A470C7" w14:textId="77777777" w:rsidTr="006970B1">
        <w:trPr>
          <w:trHeight w:val="237"/>
        </w:trPr>
        <w:tc>
          <w:tcPr>
            <w:tcW w:w="7650" w:type="dxa"/>
            <w:tcBorders>
              <w:bottom w:val="single" w:sz="4" w:space="0" w:color="auto"/>
            </w:tcBorders>
            <w:hideMark/>
          </w:tcPr>
          <w:p w14:paraId="587BA5E0" w14:textId="77777777" w:rsidR="001921FB" w:rsidRPr="001921FB" w:rsidRDefault="001921FB" w:rsidP="001921FB">
            <w:pPr>
              <w:pStyle w:val="ListParagraph"/>
              <w:numPr>
                <w:ilvl w:val="0"/>
                <w:numId w:val="36"/>
              </w:numPr>
              <w:ind w:left="851" w:hanging="567"/>
              <w:jc w:val="left"/>
              <w:rPr>
                <w:rFonts w:ascii="Gotham" w:hAnsi="Gotham" w:cs="Arial"/>
                <w:sz w:val="22"/>
                <w:szCs w:val="22"/>
              </w:rPr>
            </w:pPr>
            <w:r w:rsidRPr="001921FB">
              <w:rPr>
                <w:rFonts w:ascii="Gotham" w:hAnsi="Gotham" w:cs="Arial"/>
                <w:color w:val="000000"/>
                <w:sz w:val="22"/>
                <w:szCs w:val="22"/>
                <w:shd w:val="clear" w:color="auto" w:fill="FFFFFF"/>
              </w:rPr>
              <w:t>Good knowledge of mental health, personality disorders and dual diagnosis</w:t>
            </w:r>
          </w:p>
        </w:tc>
        <w:tc>
          <w:tcPr>
            <w:tcW w:w="1119" w:type="dxa"/>
            <w:tcBorders>
              <w:bottom w:val="single" w:sz="4" w:space="0" w:color="auto"/>
            </w:tcBorders>
            <w:hideMark/>
          </w:tcPr>
          <w:p w14:paraId="1A976343"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CC7AF7F" w14:textId="77777777" w:rsidR="001921FB" w:rsidRPr="001921FB" w:rsidRDefault="001921FB" w:rsidP="00784B1A">
            <w:pPr>
              <w:ind w:left="284"/>
              <w:jc w:val="left"/>
              <w:rPr>
                <w:rFonts w:ascii="Gotham" w:hAnsi="Gotham" w:cs="Arial"/>
                <w:sz w:val="22"/>
                <w:szCs w:val="22"/>
              </w:rPr>
            </w:pPr>
          </w:p>
        </w:tc>
      </w:tr>
      <w:tr w:rsidR="001921FB" w:rsidRPr="001921FB" w14:paraId="2DB94823" w14:textId="77777777" w:rsidTr="00784B1A">
        <w:trPr>
          <w:trHeight w:val="237"/>
        </w:trPr>
        <w:tc>
          <w:tcPr>
            <w:tcW w:w="7650" w:type="dxa"/>
            <w:tcBorders>
              <w:bottom w:val="single" w:sz="4" w:space="0" w:color="auto"/>
            </w:tcBorders>
          </w:tcPr>
          <w:p w14:paraId="668773BB" w14:textId="77777777" w:rsidR="001921FB" w:rsidRPr="001921FB" w:rsidRDefault="001921FB" w:rsidP="001921FB">
            <w:pPr>
              <w:pStyle w:val="ListParagraph"/>
              <w:numPr>
                <w:ilvl w:val="0"/>
                <w:numId w:val="36"/>
              </w:numPr>
              <w:ind w:left="851" w:hanging="567"/>
              <w:jc w:val="left"/>
              <w:rPr>
                <w:rFonts w:ascii="Gotham" w:hAnsi="Gotham" w:cs="Arial"/>
                <w:color w:val="000000"/>
                <w:sz w:val="22"/>
                <w:szCs w:val="22"/>
                <w:shd w:val="clear" w:color="auto" w:fill="FFFFFF"/>
              </w:rPr>
            </w:pPr>
            <w:r w:rsidRPr="001921FB">
              <w:rPr>
                <w:rFonts w:ascii="Gotham" w:hAnsi="Gotham" w:cs="Arial"/>
                <w:color w:val="000000"/>
                <w:sz w:val="22"/>
                <w:szCs w:val="22"/>
                <w:shd w:val="clear" w:color="auto" w:fill="FFFFFF"/>
              </w:rPr>
              <w:t>Good knowledge of Health and Safety, Safeguarding and Confidentiality</w:t>
            </w:r>
          </w:p>
        </w:tc>
        <w:tc>
          <w:tcPr>
            <w:tcW w:w="1119" w:type="dxa"/>
            <w:tcBorders>
              <w:bottom w:val="single" w:sz="4" w:space="0" w:color="auto"/>
            </w:tcBorders>
          </w:tcPr>
          <w:p w14:paraId="756FCD48"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D234920" w14:textId="77777777" w:rsidR="001921FB" w:rsidRPr="001921FB" w:rsidRDefault="001921FB" w:rsidP="00784B1A">
            <w:pPr>
              <w:ind w:left="284"/>
              <w:jc w:val="left"/>
              <w:rPr>
                <w:rFonts w:ascii="Gotham" w:hAnsi="Gotham" w:cs="Arial"/>
                <w:sz w:val="22"/>
                <w:szCs w:val="22"/>
              </w:rPr>
            </w:pPr>
          </w:p>
        </w:tc>
      </w:tr>
      <w:tr w:rsidR="001921FB" w:rsidRPr="001921FB" w14:paraId="67C300F8" w14:textId="77777777" w:rsidTr="00784B1A">
        <w:trPr>
          <w:trHeight w:val="237"/>
        </w:trPr>
        <w:tc>
          <w:tcPr>
            <w:tcW w:w="7650" w:type="dxa"/>
          </w:tcPr>
          <w:p w14:paraId="381135B1" w14:textId="77777777" w:rsidR="001921FB" w:rsidRPr="001921FB" w:rsidRDefault="001921FB" w:rsidP="001921FB">
            <w:pPr>
              <w:pStyle w:val="ListParagraph"/>
              <w:numPr>
                <w:ilvl w:val="0"/>
                <w:numId w:val="36"/>
              </w:numPr>
              <w:ind w:left="851" w:hanging="567"/>
              <w:jc w:val="left"/>
              <w:rPr>
                <w:rFonts w:ascii="Gotham" w:hAnsi="Gotham" w:cs="Arial"/>
                <w:color w:val="000000"/>
                <w:sz w:val="22"/>
                <w:szCs w:val="22"/>
                <w:shd w:val="clear" w:color="auto" w:fill="FFFFFF"/>
              </w:rPr>
            </w:pPr>
            <w:r w:rsidRPr="001921FB">
              <w:rPr>
                <w:rFonts w:ascii="Gotham" w:hAnsi="Gotham" w:cs="Arial"/>
                <w:color w:val="000000"/>
                <w:sz w:val="22"/>
                <w:szCs w:val="22"/>
                <w:shd w:val="clear" w:color="auto" w:fill="FFFFFF"/>
              </w:rPr>
              <w:t>Good knowledge of local agencies providing services relevant to the client group.</w:t>
            </w:r>
          </w:p>
        </w:tc>
        <w:tc>
          <w:tcPr>
            <w:tcW w:w="1119" w:type="dxa"/>
          </w:tcPr>
          <w:p w14:paraId="07458C0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D</w:t>
            </w:r>
          </w:p>
        </w:tc>
        <w:tc>
          <w:tcPr>
            <w:tcW w:w="1274" w:type="dxa"/>
          </w:tcPr>
          <w:p w14:paraId="12191839" w14:textId="77777777" w:rsidR="001921FB" w:rsidRPr="001921FB" w:rsidRDefault="006970B1" w:rsidP="00784B1A">
            <w:pPr>
              <w:ind w:left="284"/>
              <w:jc w:val="left"/>
              <w:rPr>
                <w:rFonts w:ascii="Gotham" w:hAnsi="Gotham" w:cs="Arial"/>
                <w:sz w:val="22"/>
                <w:szCs w:val="22"/>
              </w:rPr>
            </w:pPr>
            <w:r>
              <w:rPr>
                <w:rFonts w:ascii="Gotham" w:hAnsi="Gotham" w:cs="Arial"/>
                <w:sz w:val="22"/>
                <w:szCs w:val="22"/>
              </w:rPr>
              <w:t>D</w:t>
            </w:r>
          </w:p>
        </w:tc>
      </w:tr>
      <w:tr w:rsidR="001921FB" w:rsidRPr="001921FB" w14:paraId="5D551B08" w14:textId="77777777" w:rsidTr="00784B1A">
        <w:trPr>
          <w:trHeight w:val="305"/>
        </w:trPr>
        <w:tc>
          <w:tcPr>
            <w:tcW w:w="10043" w:type="dxa"/>
            <w:gridSpan w:val="3"/>
            <w:tcBorders>
              <w:top w:val="single" w:sz="4" w:space="0" w:color="auto"/>
              <w:left w:val="single" w:sz="4" w:space="0" w:color="auto"/>
              <w:bottom w:val="single" w:sz="4" w:space="0" w:color="auto"/>
              <w:right w:val="single" w:sz="4" w:space="0" w:color="auto"/>
            </w:tcBorders>
            <w:hideMark/>
          </w:tcPr>
          <w:p w14:paraId="3F092820" w14:textId="77777777" w:rsidR="001921FB" w:rsidRPr="001921FB" w:rsidRDefault="001921FB" w:rsidP="00784B1A">
            <w:pPr>
              <w:ind w:left="284"/>
              <w:jc w:val="left"/>
              <w:rPr>
                <w:rFonts w:ascii="Gotham" w:hAnsi="Gotham" w:cs="Arial"/>
                <w:sz w:val="22"/>
                <w:szCs w:val="22"/>
              </w:rPr>
            </w:pPr>
            <w:r w:rsidRPr="001921FB">
              <w:rPr>
                <w:rFonts w:ascii="Gotham" w:hAnsi="Gotham" w:cs="Arial"/>
                <w:b/>
                <w:sz w:val="22"/>
                <w:szCs w:val="22"/>
              </w:rPr>
              <w:t>Skills</w:t>
            </w:r>
          </w:p>
        </w:tc>
      </w:tr>
      <w:tr w:rsidR="001921FB" w:rsidRPr="001921FB" w14:paraId="4BFA5914" w14:textId="77777777" w:rsidTr="006970B1">
        <w:trPr>
          <w:trHeight w:val="491"/>
        </w:trPr>
        <w:tc>
          <w:tcPr>
            <w:tcW w:w="7650" w:type="dxa"/>
            <w:tcBorders>
              <w:bottom w:val="single" w:sz="4" w:space="0" w:color="auto"/>
            </w:tcBorders>
            <w:shd w:val="clear" w:color="auto" w:fill="auto"/>
            <w:hideMark/>
          </w:tcPr>
          <w:p w14:paraId="24FADFB8"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 xml:space="preserve">Commitment to  and good understanding of equality and diversity </w:t>
            </w:r>
          </w:p>
        </w:tc>
        <w:tc>
          <w:tcPr>
            <w:tcW w:w="1119" w:type="dxa"/>
            <w:tcBorders>
              <w:top w:val="single" w:sz="4" w:space="0" w:color="auto"/>
              <w:left w:val="single" w:sz="4" w:space="0" w:color="auto"/>
              <w:bottom w:val="single" w:sz="4" w:space="0" w:color="auto"/>
              <w:right w:val="single" w:sz="4" w:space="0" w:color="auto"/>
            </w:tcBorders>
            <w:hideMark/>
          </w:tcPr>
          <w:p w14:paraId="4765593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61C050C" w14:textId="77777777" w:rsidR="001921FB" w:rsidRPr="001921FB" w:rsidRDefault="001921FB" w:rsidP="00784B1A">
            <w:pPr>
              <w:ind w:left="284"/>
              <w:jc w:val="left"/>
              <w:rPr>
                <w:rFonts w:ascii="Gotham" w:hAnsi="Gotham" w:cs="Arial"/>
                <w:sz w:val="22"/>
                <w:szCs w:val="22"/>
              </w:rPr>
            </w:pPr>
          </w:p>
        </w:tc>
      </w:tr>
      <w:tr w:rsidR="001921FB" w:rsidRPr="001921FB" w14:paraId="4D12F1FF" w14:textId="77777777" w:rsidTr="006970B1">
        <w:trPr>
          <w:trHeight w:val="491"/>
        </w:trPr>
        <w:tc>
          <w:tcPr>
            <w:tcW w:w="7650" w:type="dxa"/>
            <w:hideMark/>
          </w:tcPr>
          <w:p w14:paraId="5E382530"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The ability to forge effective working relationships within a team</w:t>
            </w:r>
          </w:p>
        </w:tc>
        <w:tc>
          <w:tcPr>
            <w:tcW w:w="1119" w:type="dxa"/>
            <w:tcBorders>
              <w:top w:val="single" w:sz="4" w:space="0" w:color="auto"/>
              <w:left w:val="single" w:sz="4" w:space="0" w:color="auto"/>
              <w:bottom w:val="single" w:sz="4" w:space="0" w:color="auto"/>
              <w:right w:val="single" w:sz="4" w:space="0" w:color="auto"/>
            </w:tcBorders>
            <w:hideMark/>
          </w:tcPr>
          <w:p w14:paraId="2AF782DF"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4647615" w14:textId="77777777" w:rsidR="001921FB" w:rsidRPr="001921FB" w:rsidRDefault="001921FB" w:rsidP="00784B1A">
            <w:pPr>
              <w:ind w:left="284"/>
              <w:jc w:val="left"/>
              <w:rPr>
                <w:rFonts w:ascii="Gotham" w:hAnsi="Gotham" w:cs="Arial"/>
                <w:sz w:val="22"/>
                <w:szCs w:val="22"/>
              </w:rPr>
            </w:pPr>
          </w:p>
        </w:tc>
      </w:tr>
      <w:tr w:rsidR="001921FB" w:rsidRPr="001921FB" w14:paraId="6A4938F9" w14:textId="77777777" w:rsidTr="00784B1A">
        <w:trPr>
          <w:trHeight w:val="491"/>
        </w:trPr>
        <w:tc>
          <w:tcPr>
            <w:tcW w:w="7650" w:type="dxa"/>
          </w:tcPr>
          <w:p w14:paraId="6ADAB2E7"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The ability to forge effective working relationships in order to navigate and  to  create effective pathways to support for clients with complex needs acting as a change broker</w:t>
            </w:r>
          </w:p>
        </w:tc>
        <w:tc>
          <w:tcPr>
            <w:tcW w:w="1119" w:type="dxa"/>
          </w:tcPr>
          <w:p w14:paraId="630E3E01"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Pr>
          <w:p w14:paraId="346D9065" w14:textId="77777777" w:rsidR="001921FB" w:rsidRPr="001921FB" w:rsidRDefault="001921FB" w:rsidP="00784B1A">
            <w:pPr>
              <w:ind w:left="284"/>
              <w:jc w:val="left"/>
              <w:rPr>
                <w:rFonts w:ascii="Gotham" w:hAnsi="Gotham" w:cs="Arial"/>
                <w:sz w:val="22"/>
                <w:szCs w:val="22"/>
              </w:rPr>
            </w:pPr>
          </w:p>
        </w:tc>
      </w:tr>
      <w:tr w:rsidR="001921FB" w:rsidRPr="001921FB" w14:paraId="36FAEE6C" w14:textId="77777777" w:rsidTr="006970B1">
        <w:trPr>
          <w:trHeight w:val="509"/>
        </w:trPr>
        <w:tc>
          <w:tcPr>
            <w:tcW w:w="7650" w:type="dxa"/>
            <w:hideMark/>
          </w:tcPr>
          <w:p w14:paraId="161B90D6"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Ability to communicate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hideMark/>
          </w:tcPr>
          <w:p w14:paraId="3A901631"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4B03556" w14:textId="77777777" w:rsidR="001921FB" w:rsidRPr="001921FB" w:rsidRDefault="001921FB" w:rsidP="00784B1A">
            <w:pPr>
              <w:ind w:left="284"/>
              <w:jc w:val="left"/>
              <w:rPr>
                <w:rFonts w:ascii="Gotham" w:hAnsi="Gotham" w:cs="Arial"/>
                <w:sz w:val="22"/>
                <w:szCs w:val="22"/>
              </w:rPr>
            </w:pPr>
          </w:p>
        </w:tc>
      </w:tr>
      <w:tr w:rsidR="001921FB" w:rsidRPr="001921FB" w14:paraId="5B485CB9" w14:textId="77777777" w:rsidTr="006970B1">
        <w:trPr>
          <w:trHeight w:val="491"/>
        </w:trPr>
        <w:tc>
          <w:tcPr>
            <w:tcW w:w="7650" w:type="dxa"/>
            <w:hideMark/>
          </w:tcPr>
          <w:p w14:paraId="53997854"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Commitment to personal growth and extending own professional competence and knowledge.</w:t>
            </w:r>
          </w:p>
        </w:tc>
        <w:tc>
          <w:tcPr>
            <w:tcW w:w="1119" w:type="dxa"/>
            <w:tcBorders>
              <w:top w:val="single" w:sz="4" w:space="0" w:color="auto"/>
              <w:left w:val="single" w:sz="4" w:space="0" w:color="auto"/>
              <w:bottom w:val="single" w:sz="4" w:space="0" w:color="auto"/>
              <w:right w:val="single" w:sz="4" w:space="0" w:color="auto"/>
            </w:tcBorders>
            <w:hideMark/>
          </w:tcPr>
          <w:p w14:paraId="41AA1937"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5961FA2" w14:textId="77777777" w:rsidR="001921FB" w:rsidRPr="001921FB" w:rsidRDefault="001921FB" w:rsidP="00784B1A">
            <w:pPr>
              <w:ind w:left="284"/>
              <w:jc w:val="left"/>
              <w:rPr>
                <w:rFonts w:ascii="Gotham" w:hAnsi="Gotham" w:cs="Arial"/>
                <w:sz w:val="22"/>
                <w:szCs w:val="22"/>
              </w:rPr>
            </w:pPr>
          </w:p>
        </w:tc>
      </w:tr>
      <w:tr w:rsidR="001921FB" w:rsidRPr="001921FB" w14:paraId="44BBC2E3" w14:textId="77777777" w:rsidTr="006970B1">
        <w:trPr>
          <w:trHeight w:val="729"/>
        </w:trPr>
        <w:tc>
          <w:tcPr>
            <w:tcW w:w="7650" w:type="dxa"/>
            <w:hideMark/>
          </w:tcPr>
          <w:p w14:paraId="0219FB01"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 xml:space="preserve">Good computer literacy skills and ability to make effective use of systems </w:t>
            </w:r>
          </w:p>
        </w:tc>
        <w:tc>
          <w:tcPr>
            <w:tcW w:w="1119" w:type="dxa"/>
            <w:tcBorders>
              <w:top w:val="single" w:sz="4" w:space="0" w:color="auto"/>
              <w:left w:val="single" w:sz="4" w:space="0" w:color="auto"/>
              <w:bottom w:val="single" w:sz="4" w:space="0" w:color="auto"/>
              <w:right w:val="single" w:sz="4" w:space="0" w:color="auto"/>
            </w:tcBorders>
            <w:hideMark/>
          </w:tcPr>
          <w:p w14:paraId="39BF080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0A35333" w14:textId="77777777" w:rsidR="001921FB" w:rsidRPr="001921FB" w:rsidRDefault="001921FB" w:rsidP="00784B1A">
            <w:pPr>
              <w:ind w:left="284"/>
              <w:jc w:val="left"/>
              <w:rPr>
                <w:rFonts w:ascii="Gotham" w:hAnsi="Gotham" w:cs="Arial"/>
                <w:sz w:val="22"/>
                <w:szCs w:val="22"/>
              </w:rPr>
            </w:pPr>
          </w:p>
        </w:tc>
      </w:tr>
      <w:tr w:rsidR="001921FB" w:rsidRPr="001921FB" w14:paraId="45C3A278" w14:textId="77777777" w:rsidTr="006970B1">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723065F0" w14:textId="77777777" w:rsidR="001921FB" w:rsidRPr="001921FB" w:rsidRDefault="001921FB" w:rsidP="00784B1A">
            <w:pPr>
              <w:ind w:left="284"/>
              <w:jc w:val="left"/>
              <w:rPr>
                <w:rFonts w:ascii="Gotham" w:hAnsi="Gotham" w:cs="Arial"/>
                <w:sz w:val="22"/>
                <w:szCs w:val="22"/>
              </w:rPr>
            </w:pPr>
          </w:p>
        </w:tc>
      </w:tr>
      <w:tr w:rsidR="001921FB" w:rsidRPr="001921FB" w14:paraId="60B44DED" w14:textId="77777777" w:rsidTr="006970B1">
        <w:tc>
          <w:tcPr>
            <w:tcW w:w="7650" w:type="dxa"/>
            <w:shd w:val="clear" w:color="auto" w:fill="auto"/>
            <w:hideMark/>
          </w:tcPr>
          <w:p w14:paraId="7D3CC037" w14:textId="77777777" w:rsidR="001921FB" w:rsidRPr="001921FB" w:rsidRDefault="001921FB" w:rsidP="001921FB">
            <w:pPr>
              <w:pStyle w:val="ListParagraph"/>
              <w:numPr>
                <w:ilvl w:val="0"/>
                <w:numId w:val="38"/>
              </w:numPr>
              <w:ind w:left="873" w:hanging="567"/>
              <w:jc w:val="both"/>
              <w:rPr>
                <w:rFonts w:ascii="Gotham" w:hAnsi="Gotham" w:cs="Arial"/>
                <w:sz w:val="22"/>
                <w:szCs w:val="22"/>
              </w:rPr>
            </w:pPr>
            <w:r w:rsidRPr="001921FB">
              <w:rPr>
                <w:rFonts w:ascii="Gotham" w:hAnsi="Gotham" w:cs="Arial"/>
                <w:sz w:val="22"/>
                <w:szCs w:val="22"/>
              </w:rPr>
              <w:t>Experience of delivering support to vulnerable people</w:t>
            </w:r>
          </w:p>
        </w:tc>
        <w:tc>
          <w:tcPr>
            <w:tcW w:w="1119" w:type="dxa"/>
            <w:shd w:val="clear" w:color="auto" w:fill="auto"/>
            <w:hideMark/>
          </w:tcPr>
          <w:p w14:paraId="1EA6EA08"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046CE5B0" w14:textId="77777777" w:rsidR="001921FB" w:rsidRPr="001921FB" w:rsidRDefault="001921FB" w:rsidP="00784B1A">
            <w:pPr>
              <w:ind w:left="284"/>
              <w:jc w:val="left"/>
              <w:rPr>
                <w:rFonts w:ascii="Gotham" w:hAnsi="Gotham" w:cs="Arial"/>
                <w:sz w:val="22"/>
                <w:szCs w:val="22"/>
              </w:rPr>
            </w:pPr>
          </w:p>
        </w:tc>
      </w:tr>
      <w:tr w:rsidR="001921FB" w:rsidRPr="001921FB" w14:paraId="1D6C3B6D" w14:textId="77777777" w:rsidTr="00784B1A">
        <w:trPr>
          <w:trHeight w:val="630"/>
        </w:trPr>
        <w:tc>
          <w:tcPr>
            <w:tcW w:w="7650" w:type="dxa"/>
          </w:tcPr>
          <w:p w14:paraId="001E77C2" w14:textId="77777777" w:rsidR="001921FB" w:rsidRPr="001921FB" w:rsidRDefault="001921FB" w:rsidP="001921FB">
            <w:pPr>
              <w:pStyle w:val="ListParagraph"/>
              <w:numPr>
                <w:ilvl w:val="0"/>
                <w:numId w:val="38"/>
              </w:numPr>
              <w:ind w:left="851" w:hanging="567"/>
              <w:jc w:val="left"/>
              <w:rPr>
                <w:rFonts w:ascii="Gotham" w:hAnsi="Gotham" w:cs="Arial"/>
                <w:sz w:val="22"/>
                <w:szCs w:val="22"/>
              </w:rPr>
            </w:pPr>
            <w:r w:rsidRPr="001921FB">
              <w:rPr>
                <w:rFonts w:ascii="Gotham" w:hAnsi="Gotham" w:cs="Arial"/>
                <w:sz w:val="22"/>
                <w:szCs w:val="22"/>
              </w:rPr>
              <w:t>Experience of providing support to people with multiple needs</w:t>
            </w:r>
          </w:p>
        </w:tc>
        <w:tc>
          <w:tcPr>
            <w:tcW w:w="1119" w:type="dxa"/>
          </w:tcPr>
          <w:p w14:paraId="2BE50E37" w14:textId="77777777" w:rsidR="001921FB" w:rsidRPr="001921FB" w:rsidRDefault="001921FB" w:rsidP="00784B1A">
            <w:pPr>
              <w:jc w:val="left"/>
              <w:rPr>
                <w:rFonts w:ascii="Gotham" w:hAnsi="Gotham" w:cs="Arial"/>
                <w:sz w:val="22"/>
                <w:szCs w:val="22"/>
              </w:rPr>
            </w:pPr>
          </w:p>
          <w:p w14:paraId="0D5F2B6D" w14:textId="77777777" w:rsidR="001921FB" w:rsidRPr="001921FB" w:rsidRDefault="001921FB" w:rsidP="00784B1A">
            <w:pPr>
              <w:jc w:val="left"/>
              <w:rPr>
                <w:rFonts w:ascii="Gotham" w:hAnsi="Gotham" w:cs="Arial"/>
                <w:sz w:val="22"/>
                <w:szCs w:val="22"/>
              </w:rPr>
            </w:pPr>
            <w:r>
              <w:rPr>
                <w:rFonts w:ascii="Gotham" w:hAnsi="Gotham" w:cs="Arial"/>
                <w:sz w:val="22"/>
                <w:szCs w:val="22"/>
              </w:rPr>
              <w:t xml:space="preserve">    E</w:t>
            </w:r>
          </w:p>
        </w:tc>
        <w:tc>
          <w:tcPr>
            <w:tcW w:w="1274" w:type="dxa"/>
          </w:tcPr>
          <w:p w14:paraId="1711B57D" w14:textId="77777777" w:rsidR="001921FB" w:rsidRPr="001921FB" w:rsidRDefault="001921FB" w:rsidP="00784B1A">
            <w:pPr>
              <w:jc w:val="left"/>
              <w:rPr>
                <w:rFonts w:ascii="Gotham" w:hAnsi="Gotham" w:cs="Arial"/>
                <w:sz w:val="22"/>
                <w:szCs w:val="22"/>
              </w:rPr>
            </w:pPr>
          </w:p>
        </w:tc>
      </w:tr>
      <w:tr w:rsidR="001921FB" w:rsidRPr="001921FB" w14:paraId="5F8D4AD9" w14:textId="77777777" w:rsidTr="00784B1A">
        <w:trPr>
          <w:trHeight w:val="630"/>
        </w:trPr>
        <w:tc>
          <w:tcPr>
            <w:tcW w:w="7650" w:type="dxa"/>
          </w:tcPr>
          <w:p w14:paraId="5C309538" w14:textId="77777777" w:rsidR="001921FB" w:rsidRPr="001921FB" w:rsidRDefault="001921FB" w:rsidP="001921FB">
            <w:pPr>
              <w:pStyle w:val="ListParagraph"/>
              <w:numPr>
                <w:ilvl w:val="0"/>
                <w:numId w:val="38"/>
              </w:numPr>
              <w:ind w:left="851" w:hanging="567"/>
              <w:jc w:val="left"/>
              <w:rPr>
                <w:rFonts w:ascii="Gotham" w:hAnsi="Gotham" w:cs="Arial"/>
                <w:sz w:val="22"/>
                <w:szCs w:val="22"/>
              </w:rPr>
            </w:pPr>
            <w:r w:rsidRPr="001921FB">
              <w:rPr>
                <w:rFonts w:ascii="Gotham" w:hAnsi="Gotham" w:cs="Arial"/>
                <w:sz w:val="22"/>
                <w:szCs w:val="22"/>
              </w:rPr>
              <w:lastRenderedPageBreak/>
              <w:t>Proven ability to work effectively within a partnership along with the ability to advocate effectively at all levels on behalf of homelessness clients.</w:t>
            </w:r>
          </w:p>
        </w:tc>
        <w:tc>
          <w:tcPr>
            <w:tcW w:w="1119" w:type="dxa"/>
          </w:tcPr>
          <w:p w14:paraId="4ED97044" w14:textId="77777777" w:rsidR="001921FB" w:rsidRPr="001921FB" w:rsidRDefault="001921FB" w:rsidP="006970B1">
            <w:pPr>
              <w:rPr>
                <w:rFonts w:ascii="Gotham" w:hAnsi="Gotham" w:cs="Arial"/>
                <w:sz w:val="22"/>
                <w:szCs w:val="22"/>
              </w:rPr>
            </w:pPr>
            <w:r w:rsidRPr="001921FB">
              <w:rPr>
                <w:rFonts w:ascii="Gotham" w:hAnsi="Gotham" w:cs="Arial"/>
                <w:sz w:val="22"/>
                <w:szCs w:val="22"/>
              </w:rPr>
              <w:t xml:space="preserve">   </w:t>
            </w:r>
            <w:r w:rsidRPr="001921FB">
              <w:rPr>
                <w:rFonts w:ascii="Gotham" w:hAnsi="Gotham" w:cs="Arial"/>
                <w:sz w:val="22"/>
                <w:szCs w:val="22"/>
              </w:rPr>
              <w:tab/>
              <w:t xml:space="preserve">   </w:t>
            </w:r>
          </w:p>
        </w:tc>
        <w:tc>
          <w:tcPr>
            <w:tcW w:w="1274" w:type="dxa"/>
          </w:tcPr>
          <w:p w14:paraId="06B4C243" w14:textId="77777777" w:rsidR="001921FB" w:rsidRPr="001921FB" w:rsidRDefault="006970B1" w:rsidP="006970B1">
            <w:pPr>
              <w:rPr>
                <w:rFonts w:ascii="Gotham" w:hAnsi="Gotham" w:cs="Arial"/>
                <w:sz w:val="22"/>
                <w:szCs w:val="22"/>
              </w:rPr>
            </w:pPr>
            <w:r>
              <w:rPr>
                <w:rFonts w:ascii="Gotham" w:hAnsi="Gotham" w:cs="Arial"/>
                <w:sz w:val="22"/>
                <w:szCs w:val="22"/>
              </w:rPr>
              <w:t>D</w:t>
            </w:r>
          </w:p>
        </w:tc>
      </w:tr>
    </w:tbl>
    <w:p w14:paraId="4A7D3DC0" w14:textId="77777777" w:rsidR="00443015" w:rsidRPr="001E3286" w:rsidRDefault="00443015" w:rsidP="00070BCB">
      <w:pPr>
        <w:tabs>
          <w:tab w:val="left" w:pos="0"/>
          <w:tab w:val="left" w:pos="709"/>
          <w:tab w:val="left" w:pos="3686"/>
          <w:tab w:val="left" w:pos="4253"/>
        </w:tabs>
        <w:rPr>
          <w:rFonts w:ascii="Gotham" w:hAnsi="Gotham" w:cs="Arial"/>
          <w:sz w:val="22"/>
          <w:szCs w:val="22"/>
        </w:rPr>
      </w:pPr>
    </w:p>
    <w:sectPr w:rsidR="00443015" w:rsidRPr="001E3286"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5CC6D" w14:textId="77777777" w:rsidR="00C91092" w:rsidRDefault="00C91092">
      <w:r>
        <w:separator/>
      </w:r>
    </w:p>
  </w:endnote>
  <w:endnote w:type="continuationSeparator" w:id="0">
    <w:p w14:paraId="3C949D3D" w14:textId="77777777" w:rsidR="00C91092" w:rsidRDefault="00C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800000AF"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EA06" w14:textId="77777777" w:rsidR="00C91092" w:rsidRDefault="00C91092">
      <w:r>
        <w:separator/>
      </w:r>
    </w:p>
  </w:footnote>
  <w:footnote w:type="continuationSeparator" w:id="0">
    <w:p w14:paraId="4D778AEA" w14:textId="77777777" w:rsidR="00C91092" w:rsidRDefault="00C9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28"/>
  </w:num>
  <w:num w:numId="5">
    <w:abstractNumId w:val="21"/>
  </w:num>
  <w:num w:numId="6">
    <w:abstractNumId w:val="31"/>
  </w:num>
  <w:num w:numId="7">
    <w:abstractNumId w:val="5"/>
  </w:num>
  <w:num w:numId="8">
    <w:abstractNumId w:val="24"/>
  </w:num>
  <w:num w:numId="9">
    <w:abstractNumId w:val="35"/>
  </w:num>
  <w:num w:numId="10">
    <w:abstractNumId w:val="30"/>
  </w:num>
  <w:num w:numId="11">
    <w:abstractNumId w:val="6"/>
  </w:num>
  <w:num w:numId="12">
    <w:abstractNumId w:val="3"/>
  </w:num>
  <w:num w:numId="13">
    <w:abstractNumId w:val="9"/>
  </w:num>
  <w:num w:numId="14">
    <w:abstractNumId w:val="33"/>
  </w:num>
  <w:num w:numId="15">
    <w:abstractNumId w:val="22"/>
  </w:num>
  <w:num w:numId="16">
    <w:abstractNumId w:val="23"/>
  </w:num>
  <w:num w:numId="17">
    <w:abstractNumId w:val="16"/>
  </w:num>
  <w:num w:numId="18">
    <w:abstractNumId w:val="0"/>
  </w:num>
  <w:num w:numId="19">
    <w:abstractNumId w:val="2"/>
  </w:num>
  <w:num w:numId="20">
    <w:abstractNumId w:val="8"/>
  </w:num>
  <w:num w:numId="21">
    <w:abstractNumId w:val="20"/>
  </w:num>
  <w:num w:numId="22">
    <w:abstractNumId w:val="29"/>
  </w:num>
  <w:num w:numId="23">
    <w:abstractNumId w:val="13"/>
  </w:num>
  <w:num w:numId="24">
    <w:abstractNumId w:val="7"/>
  </w:num>
  <w:num w:numId="25">
    <w:abstractNumId w:val="25"/>
  </w:num>
  <w:num w:numId="26">
    <w:abstractNumId w:val="11"/>
  </w:num>
  <w:num w:numId="27">
    <w:abstractNumId w:val="14"/>
  </w:num>
  <w:num w:numId="28">
    <w:abstractNumId w:val="15"/>
  </w:num>
  <w:num w:numId="29">
    <w:abstractNumId w:val="4"/>
  </w:num>
  <w:num w:numId="30">
    <w:abstractNumId w:val="1"/>
  </w:num>
  <w:num w:numId="31">
    <w:abstractNumId w:val="19"/>
  </w:num>
  <w:num w:numId="32">
    <w:abstractNumId w:val="34"/>
  </w:num>
  <w:num w:numId="33">
    <w:abstractNumId w:val="12"/>
  </w:num>
  <w:num w:numId="34">
    <w:abstractNumId w:val="10"/>
  </w:num>
  <w:num w:numId="35">
    <w:abstractNumId w:val="3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4BAE"/>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A723F"/>
    <w:rsid w:val="001B3121"/>
    <w:rsid w:val="001B3FEF"/>
    <w:rsid w:val="001B6C83"/>
    <w:rsid w:val="001C15F4"/>
    <w:rsid w:val="001C7729"/>
    <w:rsid w:val="001D2280"/>
    <w:rsid w:val="001E3286"/>
    <w:rsid w:val="001E3C40"/>
    <w:rsid w:val="001E5E34"/>
    <w:rsid w:val="001F4F9D"/>
    <w:rsid w:val="001F500D"/>
    <w:rsid w:val="001F5421"/>
    <w:rsid w:val="001F6FE1"/>
    <w:rsid w:val="001F7897"/>
    <w:rsid w:val="00200FD7"/>
    <w:rsid w:val="00212DCA"/>
    <w:rsid w:val="00217F61"/>
    <w:rsid w:val="00231CA6"/>
    <w:rsid w:val="00236005"/>
    <w:rsid w:val="00237332"/>
    <w:rsid w:val="00257F55"/>
    <w:rsid w:val="002655A2"/>
    <w:rsid w:val="00265BE8"/>
    <w:rsid w:val="00276F22"/>
    <w:rsid w:val="00276FD8"/>
    <w:rsid w:val="002771E7"/>
    <w:rsid w:val="002830C7"/>
    <w:rsid w:val="002A21DD"/>
    <w:rsid w:val="002A2C80"/>
    <w:rsid w:val="002A335D"/>
    <w:rsid w:val="002A684E"/>
    <w:rsid w:val="002B7A6B"/>
    <w:rsid w:val="002C495E"/>
    <w:rsid w:val="002C78C9"/>
    <w:rsid w:val="002D6C07"/>
    <w:rsid w:val="002E0B01"/>
    <w:rsid w:val="002E226A"/>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B0247"/>
    <w:rsid w:val="003B07D3"/>
    <w:rsid w:val="003C00BC"/>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6015"/>
    <w:rsid w:val="007C6C0D"/>
    <w:rsid w:val="007C6DDF"/>
    <w:rsid w:val="007D6675"/>
    <w:rsid w:val="007D78E4"/>
    <w:rsid w:val="007D7A89"/>
    <w:rsid w:val="007E250F"/>
    <w:rsid w:val="007E572D"/>
    <w:rsid w:val="007E7AD0"/>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38A"/>
    <w:rsid w:val="008F17FE"/>
    <w:rsid w:val="008F1DDD"/>
    <w:rsid w:val="008F293F"/>
    <w:rsid w:val="008F45C9"/>
    <w:rsid w:val="008F66D9"/>
    <w:rsid w:val="008F7501"/>
    <w:rsid w:val="009000AE"/>
    <w:rsid w:val="00902B38"/>
    <w:rsid w:val="00915FDF"/>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3D69"/>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E35C6"/>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9454E"/>
    <w:rsid w:val="00FA175F"/>
    <w:rsid w:val="00FA420C"/>
    <w:rsid w:val="00FB0600"/>
    <w:rsid w:val="00FB13B7"/>
    <w:rsid w:val="00FB1E51"/>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ABC3480"/>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1921FB"/>
    <w:pPr>
      <w:keepNext/>
      <w:keepLines/>
      <w:spacing w:before="20" w:line="276" w:lineRule="auto"/>
      <w:outlineLvl w:val="0"/>
    </w:pPr>
    <w:rPr>
      <w:rFonts w:ascii="Gotham" w:eastAsiaTheme="majorEastAsia" w:hAnsi="Gotham" w:cstheme="majorBidi"/>
      <w:bCs/>
      <w:sz w:val="36"/>
      <w:szCs w:val="36"/>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1FB"/>
    <w:rPr>
      <w:rFonts w:ascii="Gotham" w:eastAsiaTheme="majorEastAsia" w:hAnsi="Gotham" w:cstheme="majorBidi"/>
      <w:bCs/>
      <w:sz w:val="36"/>
      <w:szCs w:val="36"/>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90C1-3425-451D-9D04-BFACAA2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Sue Paffey</cp:lastModifiedBy>
  <cp:revision>2</cp:revision>
  <cp:lastPrinted>2020-02-19T14:39:00Z</cp:lastPrinted>
  <dcterms:created xsi:type="dcterms:W3CDTF">2020-02-20T10:37:00Z</dcterms:created>
  <dcterms:modified xsi:type="dcterms:W3CDTF">2020-02-20T10:37:00Z</dcterms:modified>
</cp:coreProperties>
</file>